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6B47AC" w:rsidRDefault="00846E59" w:rsidP="006B47AC">
      <w:pPr>
        <w:pStyle w:val="1"/>
        <w:spacing w:line="400" w:lineRule="exact"/>
        <w:ind w:right="57"/>
        <w:rPr>
          <w:rFonts w:ascii="標楷體" w:eastAsia="標楷體" w:hAnsi="標楷體" w:cs="Arial"/>
          <w:b/>
          <w:sz w:val="24"/>
          <w:szCs w:val="24"/>
        </w:rPr>
      </w:pPr>
      <w:r w:rsidRPr="006B47AC">
        <w:rPr>
          <w:rFonts w:ascii="標楷體" w:eastAsia="標楷體" w:hAnsi="標楷體" w:cs="Arial" w:hint="eastAsia"/>
          <w:b/>
          <w:sz w:val="24"/>
          <w:szCs w:val="24"/>
        </w:rPr>
        <w:t>臺北市</w:t>
      </w:r>
      <w:r w:rsidR="00C76D20" w:rsidRPr="006B47AC">
        <w:rPr>
          <w:rFonts w:ascii="標楷體" w:eastAsia="標楷體" w:hAnsi="標楷體" w:cs="Arial" w:hint="eastAsia"/>
          <w:b/>
          <w:sz w:val="24"/>
          <w:szCs w:val="32"/>
        </w:rPr>
        <w:t>立民生</w:t>
      </w:r>
      <w:r w:rsidRPr="006B47AC">
        <w:rPr>
          <w:rFonts w:ascii="標楷體" w:eastAsia="標楷體" w:hAnsi="標楷體" w:cs="Arial" w:hint="eastAsia"/>
          <w:b/>
          <w:sz w:val="24"/>
          <w:szCs w:val="24"/>
        </w:rPr>
        <w:t>國民中學</w:t>
      </w:r>
      <w:r w:rsidR="00C76D20" w:rsidRPr="006B47AC">
        <w:rPr>
          <w:rFonts w:ascii="標楷體" w:eastAsia="標楷體" w:hAnsi="標楷體" w:cs="Arial" w:hint="eastAsia"/>
          <w:b/>
          <w:sz w:val="24"/>
          <w:szCs w:val="24"/>
        </w:rPr>
        <w:t>108</w:t>
      </w:r>
      <w:r w:rsidRPr="006B47AC">
        <w:rPr>
          <w:rFonts w:ascii="標楷體" w:eastAsia="標楷體" w:hAnsi="標楷體" w:cs="Arial" w:hint="eastAsia"/>
          <w:b/>
          <w:sz w:val="24"/>
          <w:szCs w:val="24"/>
        </w:rPr>
        <w:t>學年度</w:t>
      </w:r>
      <w:r w:rsidR="00C00B0C" w:rsidRPr="006B47AC">
        <w:rPr>
          <w:rFonts w:ascii="標楷體" w:eastAsia="標楷體" w:hAnsi="標楷體" w:hint="eastAsia"/>
          <w:b/>
          <w:sz w:val="24"/>
          <w:szCs w:val="24"/>
        </w:rPr>
        <w:t>八</w:t>
      </w:r>
      <w:r w:rsidRPr="006B47AC">
        <w:rPr>
          <w:rFonts w:ascii="標楷體" w:eastAsia="標楷體" w:hAnsi="標楷體" w:hint="eastAsia"/>
          <w:b/>
          <w:sz w:val="24"/>
          <w:szCs w:val="24"/>
        </w:rPr>
        <w:t>年級</w:t>
      </w:r>
      <w:r w:rsidR="00C76D20" w:rsidRPr="006B47AC">
        <w:rPr>
          <w:rFonts w:ascii="標楷體" w:eastAsia="標楷體" w:hAnsi="標楷體" w:hint="eastAsia"/>
          <w:b/>
          <w:sz w:val="24"/>
          <w:szCs w:val="24"/>
        </w:rPr>
        <w:t>藝術</w:t>
      </w:r>
      <w:r w:rsidRPr="006B47AC">
        <w:rPr>
          <w:rFonts w:ascii="標楷體" w:eastAsia="標楷體" w:hAnsi="標楷體" w:hint="eastAsia"/>
          <w:b/>
          <w:sz w:val="24"/>
          <w:szCs w:val="24"/>
        </w:rPr>
        <w:t>領域</w:t>
      </w:r>
      <w:r w:rsidR="00C76D20" w:rsidRPr="006B47AC">
        <w:rPr>
          <w:rFonts w:ascii="標楷體" w:eastAsia="標楷體" w:hAnsi="標楷體" w:hint="eastAsia"/>
          <w:b/>
          <w:sz w:val="24"/>
          <w:szCs w:val="24"/>
        </w:rPr>
        <w:t>視覺藝術</w:t>
      </w:r>
      <w:r w:rsidRPr="006B47AC">
        <w:rPr>
          <w:rFonts w:ascii="標楷體" w:eastAsia="標楷體" w:hAnsi="標楷體" w:hint="eastAsia"/>
          <w:b/>
          <w:sz w:val="24"/>
          <w:szCs w:val="24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6B47AC">
        <w:rPr>
          <w:rFonts w:ascii="標楷體" w:eastAsia="標楷體" w:hAnsi="標楷體"/>
          <w:sz w:val="24"/>
          <w:szCs w:val="24"/>
        </w:rPr>
        <w:t>:</w:t>
      </w:r>
      <w:r w:rsidR="00C00B0C" w:rsidRPr="006B47AC">
        <w:rPr>
          <w:rFonts w:ascii="標楷體" w:eastAsia="標楷體" w:hAnsi="標楷體" w:hint="eastAsia"/>
          <w:kern w:val="0"/>
          <w:sz w:val="24"/>
          <w:szCs w:val="24"/>
        </w:rPr>
        <w:t>翰林</w:t>
      </w:r>
      <w:r w:rsidRPr="006B47AC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846E59" w:rsidRPr="00BE37E1" w:rsidRDefault="00C00B0C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</w:rPr>
        <w:t>學習攝影美學的的創意手法</w:t>
      </w:r>
      <w:bookmarkStart w:id="0" w:name="_GoBack"/>
      <w:bookmarkEnd w:id="0"/>
      <w:r>
        <w:rPr>
          <w:rFonts w:ascii="標楷體" w:eastAsia="標楷體" w:hAnsi="標楷體" w:hint="eastAsia"/>
          <w:bCs/>
        </w:rPr>
        <w:t>。</w:t>
      </w:r>
    </w:p>
    <w:p w:rsidR="00846E59" w:rsidRPr="00BE37E1" w:rsidRDefault="00C00B0C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</w:rPr>
        <w:t>認識文字的由來與圖象的關係。</w:t>
      </w:r>
      <w:r w:rsidR="00846E59" w:rsidRPr="00BE37E1">
        <w:rPr>
          <w:rFonts w:ascii="標楷體" w:eastAsia="標楷體" w:hAnsi="標楷體" w:hint="eastAsia"/>
          <w:bCs/>
          <w:szCs w:val="24"/>
        </w:rPr>
        <w:t>。</w:t>
      </w:r>
    </w:p>
    <w:p w:rsidR="00846E59" w:rsidRPr="00F247C2" w:rsidRDefault="00C00B0C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利用適當媒材，學習效法二十世紀初期藝術家作品。</w:t>
      </w:r>
    </w:p>
    <w:p w:rsidR="00F247C2" w:rsidRPr="00F247C2" w:rsidRDefault="00F247C2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能理解民俗吉祥圖案的分類，並能說出圖象的內容與意含。</w:t>
      </w:r>
    </w:p>
    <w:p w:rsidR="00F247C2" w:rsidRPr="00F247C2" w:rsidRDefault="00F247C2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透過對建築的認識，啟發參與改善生活環境的動機。</w:t>
      </w:r>
    </w:p>
    <w:p w:rsidR="00F247C2" w:rsidRPr="00BE37E1" w:rsidRDefault="00F247C2" w:rsidP="00846E59">
      <w:pPr>
        <w:numPr>
          <w:ilvl w:val="1"/>
          <w:numId w:val="1"/>
        </w:numPr>
        <w:spacing w:line="400" w:lineRule="exact"/>
        <w:ind w:left="480" w:hangingChars="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學習漫畫人物表情畫法，引發學生探索自己的特質。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F247C2" w:rsidTr="00C00B0C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文明與設計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傳統工藝與現代精品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家政教育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品德教育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防災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動動腦、創意發想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小組學習單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分享不同的idea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80808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形與色的解放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另一種角度(立體)(超現實)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人權</w:t>
            </w:r>
            <w:r w:rsidRPr="00F247C2">
              <w:rPr>
                <w:rFonts w:ascii="標楷體" w:eastAsia="標楷體" w:hAnsi="標楷體" w:hint="eastAsia"/>
                <w:bCs/>
                <w:kern w:val="0"/>
                <w:szCs w:val="24"/>
              </w:rPr>
              <w:t>教育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性別平等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 xml:space="preserve">主觀意象(印象)(素人) 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抽象藝術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名畫改編草圖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名畫改編實作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名畫改編實作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欣賞同學作品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3-4-9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文字之美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文字發展史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海報與廣告字體賞析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現代字體創意設計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現代字體創意設計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凝凍影像之美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各種攝影種類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2-4-5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複習構圖、認識攝影技巧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2-4-5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校園環境攝影實作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分享作品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93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徜徉水墨畫卷間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書寫藝術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247C2" w:rsidRPr="00F247C2" w:rsidTr="00C00B0C">
        <w:trPr>
          <w:trHeight w:val="56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書畫裝裱形式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F247C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C00B0C">
        <w:trPr>
          <w:trHeight w:val="567"/>
        </w:trPr>
        <w:tc>
          <w:tcPr>
            <w:tcW w:w="246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學期總結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1.回顧學期課程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2.審視學期所學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2-4-6</w:t>
            </w:r>
          </w:p>
        </w:tc>
        <w:tc>
          <w:tcPr>
            <w:tcW w:w="650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F247C2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F247C2">
        <w:rPr>
          <w:rFonts w:ascii="標楷體" w:eastAsia="標楷體" w:hAnsi="標楷體" w:hint="eastAsia"/>
          <w:szCs w:val="24"/>
          <w:lang w:eastAsia="zh-HK"/>
        </w:rPr>
        <w:t>第</w:t>
      </w:r>
      <w:r w:rsidRPr="00F247C2">
        <w:rPr>
          <w:rFonts w:ascii="標楷體" w:eastAsia="標楷體" w:hAnsi="標楷體"/>
          <w:szCs w:val="24"/>
        </w:rPr>
        <w:t>2</w:t>
      </w:r>
      <w:r w:rsidRPr="00F247C2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F247C2" w:rsidTr="00F247C2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F247C2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Merge w:val="restar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環境˙建築˙生活圈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展覽空間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多元文化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策劃展覽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分工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各種傳統建築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現代建築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傳統建築圖樣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遊藝民間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民間藝術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多元文化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3-4-9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原民藝術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動漫天地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漫畫的風格與種類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1-4-2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1-4-3</w:t>
            </w: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多元文化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漫畫延伸產業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1-4-3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表情與造型比例分析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1-4-3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2-4-5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2-4-5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實務操作</w:t>
            </w:r>
          </w:p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影音畫世界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多媒體藝術介紹、錄像藝術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多元文化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szCs w:val="24"/>
              </w:rPr>
              <w:t>人權</w:t>
            </w:r>
            <w:r w:rsidRPr="00F247C2">
              <w:rPr>
                <w:rFonts w:ascii="標楷體" w:eastAsia="標楷體" w:hAnsi="標楷體" w:hint="eastAsia"/>
                <w:bCs/>
                <w:kern w:val="0"/>
                <w:szCs w:val="24"/>
              </w:rPr>
              <w:t>教育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i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互動藝術和廣告、</w:t>
            </w:r>
            <w:r w:rsidRPr="00F247C2">
              <w:rPr>
                <w:rFonts w:ascii="標楷體" w:eastAsia="標楷體" w:hAnsi="標楷體" w:hint="eastAsia"/>
                <w:szCs w:val="24"/>
              </w:rPr>
              <w:t>創意文案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1-4-2</w:t>
            </w:r>
          </w:p>
        </w:tc>
        <w:tc>
          <w:tcPr>
            <w:tcW w:w="650" w:type="pct"/>
            <w:vMerge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學習單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247C2" w:rsidRPr="00F247C2" w:rsidTr="00F247C2">
        <w:trPr>
          <w:trHeight w:val="567"/>
        </w:trPr>
        <w:tc>
          <w:tcPr>
            <w:tcW w:w="247" w:type="pct"/>
            <w:vAlign w:val="center"/>
          </w:tcPr>
          <w:p w:rsidR="00F247C2" w:rsidRPr="00F247C2" w:rsidRDefault="00F247C2" w:rsidP="00F247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學期總結</w:t>
            </w:r>
          </w:p>
        </w:tc>
        <w:tc>
          <w:tcPr>
            <w:tcW w:w="1393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1.回顧學期課程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2.審視學期所學</w:t>
            </w:r>
          </w:p>
        </w:tc>
        <w:tc>
          <w:tcPr>
            <w:tcW w:w="545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1-4-1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2-4-6</w:t>
            </w:r>
          </w:p>
        </w:tc>
        <w:tc>
          <w:tcPr>
            <w:tcW w:w="650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F247C2">
              <w:rPr>
                <w:rFonts w:ascii="標楷體" w:eastAsia="標楷體" w:hAnsi="標楷體" w:cs="Arial" w:hint="eastAsia"/>
                <w:color w:val="000000"/>
                <w:szCs w:val="24"/>
              </w:rPr>
              <w:t>生涯發展</w:t>
            </w:r>
          </w:p>
        </w:tc>
        <w:tc>
          <w:tcPr>
            <w:tcW w:w="204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F247C2" w:rsidRPr="00F247C2" w:rsidRDefault="00F247C2" w:rsidP="00F247C2">
            <w:pPr>
              <w:spacing w:line="3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247C2">
              <w:rPr>
                <w:rFonts w:ascii="標楷體" w:eastAsia="標楷體" w:hAnsi="標楷體" w:hint="eastAsia"/>
                <w:szCs w:val="24"/>
              </w:rPr>
              <w:t>參與討論</w:t>
            </w:r>
          </w:p>
        </w:tc>
        <w:tc>
          <w:tcPr>
            <w:tcW w:w="250" w:type="pct"/>
            <w:vAlign w:val="center"/>
          </w:tcPr>
          <w:p w:rsidR="00F247C2" w:rsidRPr="00F247C2" w:rsidRDefault="00F247C2" w:rsidP="00F247C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CE" w:rsidRDefault="00706BCE" w:rsidP="00361B7B">
      <w:r>
        <w:separator/>
      </w:r>
    </w:p>
  </w:endnote>
  <w:endnote w:type="continuationSeparator" w:id="0">
    <w:p w:rsidR="00706BCE" w:rsidRDefault="00706BCE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CE" w:rsidRDefault="00706BCE" w:rsidP="00361B7B">
      <w:r>
        <w:separator/>
      </w:r>
    </w:p>
  </w:footnote>
  <w:footnote w:type="continuationSeparator" w:id="0">
    <w:p w:rsidR="00706BCE" w:rsidRDefault="00706BCE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640CB90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12006"/>
    <w:rsid w:val="001519AF"/>
    <w:rsid w:val="00361B7B"/>
    <w:rsid w:val="006468EA"/>
    <w:rsid w:val="006B47AC"/>
    <w:rsid w:val="00706BCE"/>
    <w:rsid w:val="0073191B"/>
    <w:rsid w:val="00846E59"/>
    <w:rsid w:val="00857162"/>
    <w:rsid w:val="008E64AA"/>
    <w:rsid w:val="00962AD4"/>
    <w:rsid w:val="009D4196"/>
    <w:rsid w:val="009F23F4"/>
    <w:rsid w:val="00A9499E"/>
    <w:rsid w:val="00B25C05"/>
    <w:rsid w:val="00C00B0C"/>
    <w:rsid w:val="00C1499A"/>
    <w:rsid w:val="00C6046F"/>
    <w:rsid w:val="00C76D20"/>
    <w:rsid w:val="00E1415F"/>
    <w:rsid w:val="00E448A1"/>
    <w:rsid w:val="00F06323"/>
    <w:rsid w:val="00F247C2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2019-04-29T00:31:00Z</dcterms:created>
  <dcterms:modified xsi:type="dcterms:W3CDTF">2019-05-17T01:38:00Z</dcterms:modified>
</cp:coreProperties>
</file>