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F53963" w:rsidRDefault="00846E59" w:rsidP="001708CE">
      <w:pPr>
        <w:pStyle w:val="1"/>
        <w:spacing w:line="400" w:lineRule="exact"/>
        <w:ind w:leftChars="-236" w:left="-566" w:right="-341"/>
        <w:rPr>
          <w:rFonts w:ascii="標楷體" w:eastAsia="標楷體" w:hAnsi="標楷體"/>
          <w:b/>
          <w:szCs w:val="28"/>
        </w:rPr>
      </w:pPr>
      <w:r w:rsidRPr="00F53963">
        <w:rPr>
          <w:rFonts w:ascii="標楷體" w:eastAsia="標楷體" w:hAnsi="標楷體" w:cs="Arial" w:hint="eastAsia"/>
          <w:b/>
          <w:szCs w:val="28"/>
        </w:rPr>
        <w:t>臺北市</w:t>
      </w:r>
      <w:r w:rsidR="002B552A" w:rsidRPr="00F53963">
        <w:rPr>
          <w:rFonts w:ascii="標楷體" w:eastAsia="標楷體" w:hAnsi="標楷體" w:cs="Arial" w:hint="eastAsia"/>
          <w:b/>
          <w:szCs w:val="28"/>
        </w:rPr>
        <w:t>民生</w:t>
      </w:r>
      <w:r w:rsidRPr="00F53963">
        <w:rPr>
          <w:rFonts w:ascii="標楷體" w:eastAsia="標楷體" w:hAnsi="標楷體" w:cs="Arial" w:hint="eastAsia"/>
          <w:b/>
          <w:szCs w:val="28"/>
        </w:rPr>
        <w:t>國民中學</w:t>
      </w:r>
      <w:r w:rsidR="002B552A" w:rsidRPr="00F53963">
        <w:rPr>
          <w:rFonts w:ascii="標楷體" w:eastAsia="標楷體" w:hAnsi="標楷體" w:cs="Arial" w:hint="eastAsia"/>
          <w:b/>
          <w:szCs w:val="28"/>
        </w:rPr>
        <w:t>108</w:t>
      </w:r>
      <w:r w:rsidRPr="00F53963">
        <w:rPr>
          <w:rFonts w:ascii="標楷體" w:eastAsia="標楷體" w:hAnsi="標楷體" w:cs="Arial" w:hint="eastAsia"/>
          <w:b/>
          <w:szCs w:val="28"/>
        </w:rPr>
        <w:t>學年度</w:t>
      </w:r>
      <w:r w:rsidR="002B552A" w:rsidRPr="00F53963">
        <w:rPr>
          <w:rFonts w:ascii="標楷體" w:eastAsia="標楷體" w:hAnsi="標楷體" w:hint="eastAsia"/>
          <w:b/>
          <w:szCs w:val="28"/>
        </w:rPr>
        <w:t>八</w:t>
      </w:r>
      <w:r w:rsidRPr="00F53963">
        <w:rPr>
          <w:rFonts w:ascii="標楷體" w:eastAsia="標楷體" w:hAnsi="標楷體" w:hint="eastAsia"/>
          <w:b/>
          <w:szCs w:val="28"/>
        </w:rPr>
        <w:t>年級</w:t>
      </w:r>
      <w:r w:rsidR="002B552A" w:rsidRPr="00F53963">
        <w:rPr>
          <w:rFonts w:ascii="標楷體" w:eastAsia="標楷體" w:hAnsi="標楷體" w:hint="eastAsia"/>
          <w:b/>
          <w:szCs w:val="28"/>
        </w:rPr>
        <w:t>健康與體育</w:t>
      </w:r>
      <w:r w:rsidRPr="00F53963">
        <w:rPr>
          <w:rFonts w:ascii="標楷體" w:eastAsia="標楷體" w:hAnsi="標楷體" w:hint="eastAsia"/>
          <w:b/>
          <w:szCs w:val="28"/>
        </w:rPr>
        <w:t>領域</w:t>
      </w:r>
      <w:r w:rsidR="001708CE" w:rsidRPr="00F53963">
        <w:rPr>
          <w:rFonts w:ascii="標楷體" w:eastAsia="標楷體" w:hAnsi="標楷體" w:hint="eastAsia"/>
          <w:b/>
          <w:szCs w:val="28"/>
        </w:rPr>
        <w:t>體育</w:t>
      </w:r>
      <w:r w:rsidRPr="00F53963">
        <w:rPr>
          <w:rFonts w:ascii="標楷體" w:eastAsia="標楷體" w:hAnsi="標楷體" w:hint="eastAsia"/>
          <w:b/>
          <w:szCs w:val="28"/>
        </w:rPr>
        <w:t>課程計畫</w:t>
      </w:r>
    </w:p>
    <w:p w:rsidR="00846E59" w:rsidRPr="002B552A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b/>
          <w:sz w:val="24"/>
          <w:szCs w:val="24"/>
        </w:rPr>
      </w:pPr>
      <w:r w:rsidRPr="002B552A">
        <w:rPr>
          <w:rFonts w:ascii="標楷體" w:eastAsia="標楷體" w:hAnsi="標楷體" w:hint="eastAsia"/>
          <w:b/>
          <w:sz w:val="24"/>
          <w:szCs w:val="24"/>
        </w:rPr>
        <w:t>教科書版本</w:t>
      </w:r>
      <w:r w:rsidR="002B552A" w:rsidRPr="002B552A">
        <w:rPr>
          <w:rFonts w:ascii="標楷體" w:eastAsia="標楷體" w:hAnsi="標楷體" w:hint="eastAsia"/>
          <w:b/>
          <w:sz w:val="24"/>
          <w:szCs w:val="24"/>
        </w:rPr>
        <w:t>：康軒</w:t>
      </w:r>
      <w:r w:rsidRPr="002B552A">
        <w:rPr>
          <w:rFonts w:ascii="標楷體" w:eastAsia="標楷體" w:hAnsi="標楷體" w:hint="eastAsia"/>
          <w:b/>
          <w:sz w:val="24"/>
          <w:szCs w:val="24"/>
        </w:rPr>
        <w:t>版</w:t>
      </w:r>
    </w:p>
    <w:p w:rsidR="00846E59" w:rsidRPr="002B552A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</w:rPr>
        <w:t>本學</w:t>
      </w:r>
      <w:r w:rsidRPr="002B552A">
        <w:rPr>
          <w:rFonts w:ascii="標楷體" w:eastAsia="標楷體" w:hAnsi="標楷體" w:hint="eastAsia"/>
          <w:szCs w:val="24"/>
          <w:lang w:eastAsia="zh-HK"/>
        </w:rPr>
        <w:t>年</w:t>
      </w:r>
      <w:r w:rsidRPr="002B552A">
        <w:rPr>
          <w:rFonts w:ascii="標楷體" w:eastAsia="標楷體" w:hAnsi="標楷體" w:hint="eastAsia"/>
          <w:szCs w:val="24"/>
        </w:rPr>
        <w:t>學習目標</w:t>
      </w:r>
    </w:p>
    <w:p w:rsidR="008C0DCF" w:rsidRPr="008C0DCF" w:rsidRDefault="00104899" w:rsidP="008C0DCF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  <w:bCs/>
        </w:rPr>
      </w:pPr>
      <w:r w:rsidRPr="008C0DCF">
        <w:rPr>
          <w:rFonts w:ascii="標楷體" w:eastAsia="標楷體" w:hAnsi="標楷體" w:hint="eastAsia"/>
          <w:bCs/>
        </w:rPr>
        <w:t>積極參與運動，培養互助合作的精神，並能隨時注意運動安全。</w:t>
      </w:r>
    </w:p>
    <w:p w:rsidR="002B552A" w:rsidRDefault="00104899" w:rsidP="008C0DCF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  <w:bCs/>
        </w:rPr>
      </w:pPr>
      <w:r w:rsidRPr="008C0DCF">
        <w:rPr>
          <w:rFonts w:ascii="標楷體" w:eastAsia="標楷體" w:hAnsi="標楷體" w:hint="eastAsia"/>
          <w:bCs/>
        </w:rPr>
        <w:t>認識休閒活動的意義與健康的關係，並了解從事休閒活動必備的安全知識，學會透過休閒活動的參與，達到增進健康的目的。</w:t>
      </w:r>
    </w:p>
    <w:p w:rsidR="0046103D" w:rsidRPr="00BE23CD" w:rsidRDefault="0046103D" w:rsidP="0046103D">
      <w:pPr>
        <w:numPr>
          <w:ilvl w:val="0"/>
          <w:numId w:val="38"/>
        </w:numPr>
        <w:rPr>
          <w:rFonts w:ascii="標楷體" w:eastAsia="標楷體" w:hAnsi="標楷體"/>
          <w:bCs/>
        </w:rPr>
      </w:pPr>
      <w:r w:rsidRPr="00BE23CD">
        <w:rPr>
          <w:rFonts w:ascii="標楷體" w:eastAsia="標楷體" w:hAnsi="標楷體" w:hint="eastAsia"/>
          <w:bCs/>
        </w:rPr>
        <w:t>了解運動項目中所能帶來的樂趣及可能的傷害，客觀選擇安全正確的運動方式。</w:t>
      </w:r>
    </w:p>
    <w:p w:rsidR="0046103D" w:rsidRPr="00BE23CD" w:rsidRDefault="0046103D" w:rsidP="0046103D">
      <w:pPr>
        <w:numPr>
          <w:ilvl w:val="0"/>
          <w:numId w:val="38"/>
        </w:numPr>
        <w:rPr>
          <w:rFonts w:ascii="標楷體" w:eastAsia="標楷體" w:hAnsi="標楷體"/>
          <w:bCs/>
        </w:rPr>
      </w:pPr>
      <w:r w:rsidRPr="00BE23CD">
        <w:rPr>
          <w:rFonts w:ascii="標楷體" w:eastAsia="標楷體" w:hAnsi="標楷體" w:hint="eastAsia"/>
          <w:bCs/>
        </w:rPr>
        <w:t>了解並運用各種練習方式，以增進運動表現。</w:t>
      </w:r>
    </w:p>
    <w:p w:rsidR="0046103D" w:rsidRPr="008C0DCF" w:rsidRDefault="0046103D" w:rsidP="0046103D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  <w:bCs/>
        </w:rPr>
      </w:pPr>
      <w:r w:rsidRPr="00BE23CD">
        <w:rPr>
          <w:rFonts w:ascii="標楷體" w:eastAsia="標楷體" w:hAnsi="標楷體" w:hint="eastAsia"/>
          <w:bCs/>
        </w:rPr>
        <w:t>了解運動對個人身心發展方面的重要。</w:t>
      </w:r>
    </w:p>
    <w:p w:rsidR="00846E59" w:rsidRPr="002B552A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  <w:lang w:eastAsia="zh-HK"/>
        </w:rPr>
        <w:t>第</w:t>
      </w:r>
      <w:r w:rsidRPr="002B552A">
        <w:rPr>
          <w:rFonts w:ascii="標楷體" w:eastAsia="標楷體" w:hAnsi="標楷體"/>
          <w:szCs w:val="24"/>
        </w:rPr>
        <w:t>1</w:t>
      </w:r>
      <w:r w:rsidRPr="002B552A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1764"/>
        <w:gridCol w:w="2382"/>
        <w:gridCol w:w="1155"/>
        <w:gridCol w:w="1093"/>
        <w:gridCol w:w="354"/>
        <w:gridCol w:w="1136"/>
        <w:gridCol w:w="394"/>
      </w:tblGrid>
      <w:tr w:rsidR="00846E59" w:rsidRPr="00BE37E1" w:rsidTr="00743275">
        <w:trPr>
          <w:trHeight w:val="567"/>
          <w:tblHeader/>
        </w:trPr>
        <w:tc>
          <w:tcPr>
            <w:tcW w:w="22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1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7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666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3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5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2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休閒運動總動員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快樂的運動饗宴(運動與消費)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一、認識運動產品的種類。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二、了解運動鞋及運動服裝的選擇方法。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三、能選擇適當的運動鞋及運動服裝。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四、能選擇安全的運動消費場所。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五、養成良好的運動習慣。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5-3-5 7-3-3 </w:t>
            </w:r>
          </w:p>
        </w:tc>
        <w:tc>
          <w:tcPr>
            <w:tcW w:w="630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BE23CD" w:rsidRDefault="00877BED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觀察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28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體適能檢測</w:t>
            </w: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休閒運動總動員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快樂的運動饗宴(運動與消費)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一、認識運動產品的種類。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二、了解運動鞋及運動服裝的選擇方法。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三、能選擇適當的運動鞋及運動服裝。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四、能選擇安全的運動消費場所。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五、養成良好的運動習慣。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5-3-5 7-3-3 </w:t>
            </w:r>
          </w:p>
        </w:tc>
        <w:tc>
          <w:tcPr>
            <w:tcW w:w="630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BE23CD" w:rsidRDefault="00877BED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觀察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28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休閒運動總動員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快樂的運動饗宴(運動與消費)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一、認識運動產品的種類。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二、了解運動鞋及運動服裝的選擇方法。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三、能選擇適當的運動鞋及運動服裝。</w:t>
            </w:r>
          </w:p>
          <w:p w:rsidR="00743275" w:rsidRPr="00BE23CD" w:rsidRDefault="00743275" w:rsidP="00743275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四、能選擇安全的運動消費場所。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lastRenderedPageBreak/>
              <w:t>五、養成良好的運動習慣。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 xml:space="preserve">5-3-5 7-3-3 </w:t>
            </w:r>
          </w:p>
        </w:tc>
        <w:tc>
          <w:tcPr>
            <w:tcW w:w="630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BE23CD" w:rsidRDefault="00877BED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觀察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28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百步穿楊(籃球)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一、了解並學會籃球投籃及上籃的方法，以及各種投籃方式的使用時機。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二、肯定自我的能力並能主動參與。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三、建立良好的人際關係。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四、能重視團隊並培養互助合作的精神。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6-3-2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百步穿楊(籃球)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一、了解並學會籃球投籃及上籃的方法，以及各種投籃方式的使用時機。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二、肯定自我的能力並能主動參與。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三、建立良好的人際關係。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四、能重視團隊並培養互助合作的精神。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6-3-2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百步穿楊(籃球)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一、了解並學會籃球投籃及上籃的方法，以及各種投籃方式的使用時機。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二、肯定自我的能力並能主動參與。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三、建立良好的人際關係。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四、能重視團隊並培養互助合作的精神。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6-3-2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百步穿楊(籃球)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一、了解並學會籃球投籃及上籃的方法，以及各種投籃方式的使用時</w:t>
            </w: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機。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二、肯定自我的能力並能主動參與。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三、建立良好的人際關係。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四、能重視團隊並培養互助合作的精神。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 xml:space="preserve">6-3-2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學習單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口頭報告</w:t>
            </w:r>
          </w:p>
        </w:tc>
        <w:tc>
          <w:tcPr>
            <w:tcW w:w="228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百步穿楊(籃球)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(第一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一、了解並學會籃球投籃及上籃的方法，以及各種投籃方式的使用時機。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二、肯定自我的能力並能主動參與。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三、建立良好的人際關係。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四、能重視團隊並培養互助合作的精神。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6-3-2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  <w:r w:rsidRPr="00083E33">
              <w:rPr>
                <w:rFonts w:eastAsia="標楷體"/>
                <w:sz w:val="18"/>
                <w:szCs w:val="18"/>
              </w:rPr>
              <w:t>學科段考週</w:t>
            </w: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活力滿點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(戶外活動)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一、了解從事休閒運動的益處。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二、認識直排輪、自行車及攀岩等休閒運動。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三、學會直排輪、自行車及攀岩之基本概念。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四、能夠選擇自己喜愛的休閒運動。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五、培養從事休閒運動的習慣。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3-3-4 4-3-2 4-3-3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6-3-1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人權教育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活力滿點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(戶外活動)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一、了解從事休閒運動的益處。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二、認識直排輪、自行車及攀岩等休閒運動。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三、學會直排輪、自行車及攀岩之基本概念。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四、能夠選擇自己喜愛的休閒運動。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五、培養從事休閒運動</w:t>
            </w: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 xml:space="preserve">1-3-1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3-3-4 4-3-2 4-3-3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6-3-1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人權教育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活力滿點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(戶外活動)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一、了解從事休閒運動的益處。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二、認識直排輪、自行車及攀岩等休閒運動。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三、學會直排輪、自行車及攀岩之基本概念。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四、能夠選擇自己喜愛的休閒運動。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五、培養從事休閒運動的習慣。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3-3-4 4-3-2 4-3-3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6-3-1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人權教育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青山任我行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(登山)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一、了解登山的益處。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二、認識登山的方法及登山安全知識。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三、能夠擬訂登山計畫並付諸行動。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四、培養正確的休閒運動觀念。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五、養成休閒運動的習慣。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>6-3-5 。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人權教育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生活技能─做決定、果決表態、抵抗同儕壓力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青山任我行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(登山)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一、了解登山的益處。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二、認識登山的方法及登山安全知識。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三、能夠擬訂登山計畫並付諸行動。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四、培養正確的休閒運動觀念。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五、養成休閒運動的習慣。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>6-3-5 。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性別平等教育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人權教育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生活技能─做決定、果決表態、抵抗同儕壓力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休閒運動總動員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青山任我行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(登山)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一、了解登山的益處。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二、認識登山的方法及登山安全知識。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三、能夠擬訂登山計畫並付諸行動。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四、培養正確的休閒運動觀念。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五、養成休閒運動的習慣。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lastRenderedPageBreak/>
              <w:t xml:space="preserve">1-3-1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pStyle w:val="aa"/>
              <w:spacing w:line="360" w:lineRule="exact"/>
              <w:ind w:left="550" w:right="57" w:hangingChars="250" w:hanging="550"/>
              <w:jc w:val="both"/>
              <w:rPr>
                <w:rFonts w:ascii="新細明體" w:eastAsia="新細明體" w:hAnsi="新細明體"/>
                <w:sz w:val="22"/>
              </w:rPr>
            </w:pPr>
            <w:r w:rsidRPr="00BE23CD">
              <w:rPr>
                <w:rFonts w:ascii="新細明體" w:eastAsia="新細明體" w:hAnsi="新細明體" w:hint="eastAsia"/>
                <w:sz w:val="22"/>
              </w:rPr>
              <w:lastRenderedPageBreak/>
              <w:t>6-3-5 。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lastRenderedPageBreak/>
              <w:t>家政教育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  <w:r w:rsidRPr="00083E33">
              <w:rPr>
                <w:rFonts w:eastAsia="標楷體"/>
                <w:sz w:val="18"/>
                <w:szCs w:val="18"/>
              </w:rPr>
              <w:t>學科段</w:t>
            </w:r>
            <w:r w:rsidRPr="00083E33">
              <w:rPr>
                <w:rFonts w:eastAsia="標楷體"/>
                <w:sz w:val="18"/>
                <w:szCs w:val="18"/>
              </w:rPr>
              <w:lastRenderedPageBreak/>
              <w:t>考週</w:t>
            </w: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捉摸不定(桌球)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一、學會正手平擊及正手發下旋球技術之要領。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二、蒐集臺灣殘障桌球好手的故事，並學習他們殘而不廢的奮鬥精神。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三、培養終生運動的習慣。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四、主動積極參與休閒活動。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五、培養團隊合作及互助的精神。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六、了解社區或學校桌球活動，並試著去參與。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捉摸不定(桌球)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一、學會正手平擊及正手發下旋球技術之要領。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二、蒐集臺灣殘障桌球好手的故事，並學習他們殘而不廢的奮鬥精神。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三、培養終生運動的習慣。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四、主動積極參與休閒活動。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五、培養團隊合作及互助的精神。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六、了解社區或學校桌球活動，並試著去參</w:t>
            </w: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與。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家政教育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捉摸不定(桌球)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一、學會正手平擊及正手發下旋球技術之要領。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二、蒐集臺灣殘障桌球好手的故事，並學習他們殘而不廢的奮鬥精神。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三、培養終生運動的習慣。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四、主動積極參與休閒活動。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五、培養團隊合作及互助的精神。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六、了解社區或學校桌球活動，並試著去參與。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學習單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資料蒐集整理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捉摸不定(桌球)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一、學會正手平擊及正手發下旋球技術之要領。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二、蒐集臺灣殘障桌球好手的故事，並學習他們殘而不廢的奮鬥精神。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三、培養終生運動的習慣。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四、主動積極參與休閒活動。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五、培養團隊合作及互助的精神。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六、了解社區或學校性別平等教育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人權教育桌球活動，並試著去參與。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環境教育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實際操作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93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Pr="00083E33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品頭論足(足球)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一、了解踢球、頭頂球的動作要領。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二、了解足球比賽與遊戲的方法與規則。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三、學習踢球、頭頂球的動作，且能運用於比賽中。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四、培養團隊合作的精神。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五、體驗與享受足球比賽的樂趣，並發展足球運動潛能。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六、透過足球運動促進個體成長。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七、遵守比賽規則並隨時注意安全。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3-3-1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3-3-2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3-3-3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3-3-4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4-3-5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6-3-5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環境教育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實際操作</w:t>
            </w:r>
          </w:p>
        </w:tc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3275" w:rsidRPr="00BE37E1" w:rsidTr="00743275">
        <w:trPr>
          <w:trHeight w:val="56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品頭論足(足球)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一、了解踢球、頭頂球的動作要領。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二、了解足球比賽與遊戲的方法與規則。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三、學習踢球、頭頂球的動作，且能運用於比賽中。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四、培養團隊合作的精神。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五、體驗與享受足球比賽的樂趣，並發展足球運動潛能。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六、透過足球運動促進個體成長。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七、遵守比賽規則並隨時注意安全。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1-3-1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3-3-1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3-3-2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3-3-3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3-3-4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4-3-5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6-3-5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環境教育</w:t>
            </w:r>
          </w:p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實際操作</w:t>
            </w:r>
          </w:p>
        </w:tc>
        <w:tc>
          <w:tcPr>
            <w:tcW w:w="228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</w:p>
        </w:tc>
      </w:tr>
      <w:tr w:rsidR="00743275" w:rsidRPr="00BE37E1" w:rsidTr="00743275">
        <w:trPr>
          <w:trHeight w:val="567"/>
        </w:trPr>
        <w:tc>
          <w:tcPr>
            <w:tcW w:w="228" w:type="pct"/>
            <w:vAlign w:val="center"/>
          </w:tcPr>
          <w:p w:rsidR="00743275" w:rsidRPr="00BE37E1" w:rsidRDefault="00743275" w:rsidP="007432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17" w:type="pct"/>
            <w:vAlign w:val="center"/>
          </w:tcPr>
          <w:p w:rsidR="00743275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學期</w:t>
            </w:r>
            <w:r w:rsidRPr="00BE23CD">
              <w:rPr>
                <w:rFonts w:ascii="標楷體" w:eastAsia="標楷體" w:hAnsi="標楷體" w:hint="eastAsia"/>
                <w:sz w:val="22"/>
              </w:rPr>
              <w:t>第四單元</w:t>
            </w:r>
          </w:p>
          <w:p w:rsidR="00743275" w:rsidRPr="00BE23CD" w:rsidRDefault="00743275" w:rsidP="0074327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身體力行動起來</w:t>
            </w:r>
          </w:p>
          <w:p w:rsidR="00743275" w:rsidRDefault="00743275" w:rsidP="007432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 5 章</w:t>
            </w:r>
          </w:p>
          <w:p w:rsidR="00743275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品頭論足(足球)</w:t>
            </w:r>
          </w:p>
          <w:p w:rsidR="00743275" w:rsidRPr="00083E33" w:rsidRDefault="00743275" w:rsidP="003C2901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73" w:type="pct"/>
            <w:vAlign w:val="center"/>
          </w:tcPr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一、了解踢球、頭頂球的動作要領。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二、了解足球比賽與遊戲的方法與規則。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三、學習踢球、頭頂球</w:t>
            </w: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的動作，且能運用於比賽中。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四、培養團隊合作的精神。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五、體驗與享受足球比賽的樂趣，並發展足球運動潛能。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六、透過足球運動促進個體成長。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七、遵守比賽規則並隨時注意安全。</w:t>
            </w:r>
          </w:p>
        </w:tc>
        <w:tc>
          <w:tcPr>
            <w:tcW w:w="666" w:type="pct"/>
            <w:vAlign w:val="center"/>
          </w:tcPr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lastRenderedPageBreak/>
              <w:t xml:space="preserve">1-3-1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3-3-1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3-3-2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t>3-3-3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/>
                <w:sz w:val="22"/>
              </w:rPr>
              <w:lastRenderedPageBreak/>
              <w:t>3-3-4</w:t>
            </w:r>
            <w:r w:rsidRPr="00BE23CD">
              <w:rPr>
                <w:rFonts w:ascii="新細明體" w:hAnsi="新細明體" w:cs="Courier New" w:hint="eastAsia"/>
                <w:sz w:val="22"/>
              </w:rPr>
              <w:t xml:space="preserve">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4-3-5 </w:t>
            </w:r>
          </w:p>
          <w:p w:rsidR="00743275" w:rsidRPr="00BE23CD" w:rsidRDefault="00743275" w:rsidP="00743275">
            <w:pPr>
              <w:spacing w:line="360" w:lineRule="exact"/>
              <w:ind w:left="550" w:right="57" w:hangingChars="250" w:hanging="550"/>
              <w:jc w:val="both"/>
              <w:rPr>
                <w:rFonts w:ascii="新細明體" w:hAnsi="新細明體" w:cs="Courier New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5-3-5 </w:t>
            </w:r>
          </w:p>
          <w:p w:rsidR="00743275" w:rsidRPr="00BE23CD" w:rsidRDefault="00743275" w:rsidP="0074327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新細明體" w:hAnsi="新細明體" w:cs="Courier New" w:hint="eastAsia"/>
                <w:sz w:val="22"/>
              </w:rPr>
              <w:t xml:space="preserve">6-3-5 </w:t>
            </w:r>
          </w:p>
        </w:tc>
        <w:tc>
          <w:tcPr>
            <w:tcW w:w="630" w:type="pct"/>
            <w:vAlign w:val="center"/>
          </w:tcPr>
          <w:p w:rsidR="00743275" w:rsidRPr="00083E33" w:rsidRDefault="00743275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43275" w:rsidRPr="00083E33" w:rsidRDefault="00877BED" w:rsidP="007432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  <w:bookmarkStart w:id="0" w:name="_GoBack"/>
            <w:bookmarkEnd w:id="0"/>
          </w:p>
        </w:tc>
        <w:tc>
          <w:tcPr>
            <w:tcW w:w="655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課堂問答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參與討論</w:t>
            </w:r>
          </w:p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態度檢核</w:t>
            </w:r>
          </w:p>
        </w:tc>
        <w:tc>
          <w:tcPr>
            <w:tcW w:w="228" w:type="pct"/>
            <w:vAlign w:val="center"/>
          </w:tcPr>
          <w:p w:rsidR="00743275" w:rsidRPr="00083E33" w:rsidRDefault="00743275" w:rsidP="00743275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  <w:r w:rsidRPr="00083E33">
              <w:rPr>
                <w:rFonts w:eastAsia="標楷體"/>
                <w:sz w:val="18"/>
                <w:szCs w:val="18"/>
              </w:rPr>
              <w:t>學科段考週</w:t>
            </w:r>
          </w:p>
        </w:tc>
      </w:tr>
    </w:tbl>
    <w:p w:rsidR="004A611D" w:rsidRDefault="004A611D" w:rsidP="004A611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46E59" w:rsidRPr="00BE37E1" w:rsidRDefault="00846E59" w:rsidP="002B552A">
      <w:pPr>
        <w:numPr>
          <w:ilvl w:val="0"/>
          <w:numId w:val="8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lastRenderedPageBreak/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794"/>
        <w:gridCol w:w="2416"/>
        <w:gridCol w:w="945"/>
        <w:gridCol w:w="1127"/>
        <w:gridCol w:w="354"/>
        <w:gridCol w:w="1174"/>
        <w:gridCol w:w="427"/>
      </w:tblGrid>
      <w:tr w:rsidR="00846E59" w:rsidRPr="00BE37E1" w:rsidTr="009C7046">
        <w:trPr>
          <w:trHeight w:val="567"/>
          <w:tblHeader/>
        </w:trPr>
        <w:tc>
          <w:tcPr>
            <w:tcW w:w="251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6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9C7046" w:rsidRPr="00BE37E1" w:rsidTr="009C7046">
        <w:trPr>
          <w:trHeight w:val="567"/>
        </w:trPr>
        <w:tc>
          <w:tcPr>
            <w:tcW w:w="251" w:type="pct"/>
            <w:vAlign w:val="center"/>
          </w:tcPr>
          <w:p w:rsidR="009C7046" w:rsidRPr="00BE37E1" w:rsidRDefault="009C7046" w:rsidP="009C704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第四單元</w:t>
            </w:r>
          </w:p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運動一世</w:t>
            </w:r>
          </w:p>
          <w:p w:rsidR="006E0433" w:rsidRPr="00BE23CD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健康一生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bCs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活躍的人生</w:t>
            </w:r>
          </w:p>
          <w:p w:rsidR="009C7046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－運動與健康</w:t>
            </w:r>
          </w:p>
        </w:tc>
        <w:tc>
          <w:tcPr>
            <w:tcW w:w="1393" w:type="pct"/>
            <w:vAlign w:val="center"/>
          </w:tcPr>
          <w:p w:rsidR="009C7046" w:rsidRPr="00BE23CD" w:rsidRDefault="009C7046" w:rsidP="009C7046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一、了解運動與健康的關係。</w:t>
            </w:r>
          </w:p>
          <w:p w:rsidR="009C7046" w:rsidRPr="00BE23CD" w:rsidRDefault="009C7046" w:rsidP="009C7046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二、了解運動對健康促進的效益。</w:t>
            </w:r>
          </w:p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三、體認身體活動的重要性，並知道如何增進自我的身體活動量。</w:t>
            </w:r>
          </w:p>
        </w:tc>
        <w:tc>
          <w:tcPr>
            <w:tcW w:w="545" w:type="pct"/>
            <w:vAlign w:val="center"/>
          </w:tcPr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4-3-4 </w:t>
            </w:r>
          </w:p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7-3-3 </w:t>
            </w:r>
          </w:p>
        </w:tc>
        <w:tc>
          <w:tcPr>
            <w:tcW w:w="650" w:type="pct"/>
            <w:vAlign w:val="center"/>
          </w:tcPr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9C7046" w:rsidRPr="00BE23CD" w:rsidRDefault="009C7046" w:rsidP="009C7046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6" w:type="pct"/>
            <w:vAlign w:val="center"/>
          </w:tcPr>
          <w:p w:rsidR="009C7046" w:rsidRPr="00BE37E1" w:rsidRDefault="009C7046" w:rsidP="009C70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第四單元</w:t>
            </w:r>
          </w:p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運動一世</w:t>
            </w:r>
          </w:p>
          <w:p w:rsidR="006E0433" w:rsidRPr="00BE23CD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健康一生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bCs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活躍的人生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－運動與健康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一、了解運動與健康的關係。</w:t>
            </w:r>
          </w:p>
          <w:p w:rsidR="006E0433" w:rsidRPr="00BE23CD" w:rsidRDefault="006E0433" w:rsidP="006E0433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二、了解運動對健康促進的效益。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三、體認身體活動的重要性，並知道如何增進自我的身體活動量。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4-3-4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7-3-3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第四單元</w:t>
            </w:r>
          </w:p>
          <w:p w:rsidR="006E0433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運動一世</w:t>
            </w:r>
          </w:p>
          <w:p w:rsidR="006E0433" w:rsidRPr="00BE23CD" w:rsidRDefault="006E0433" w:rsidP="006E04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健康一生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bCs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活躍的人生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－運動與健康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一、了解運動與健康的關係。</w:t>
            </w:r>
          </w:p>
          <w:p w:rsidR="006E0433" w:rsidRPr="00BE23CD" w:rsidRDefault="006E0433" w:rsidP="006E0433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二、了解運動對健康促進的效益。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三、體認身體活動的重要性，並知道如何增進自我的身體活動量。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4-3-4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7-3-3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路遙知馬力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－心肺耐力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一、了解心肺耐力對於個人身心發展方面的重要。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二、了解增進心肺耐力的運動方式。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三、學會測量運動強度的方法。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四、學會增進心肺耐力的運動技能。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五、培養努力不懈的精神和毅力。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六、養成規律運動的習慣。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1-3-1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6-3-1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路遙知馬力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－心肺耐力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一、了解心肺耐力對於個人身心發展方面的重要。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二、了解增進心肺耐力的運動方式。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三、學會測量運動強度的方法。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四、學會增進心肺耐力的運動技能。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五、培養努力不懈的精神和毅力。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六、養成規律運動的習慣。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1-3-1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</w:t>
            </w: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6-3-1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lastRenderedPageBreak/>
              <w:t>性別平等教育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路遙知馬力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－心肺耐力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一、了解心肺耐力對於個人身心發展方面的重要。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二、了解增進心肺耐力的運動方式。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三、學會測量運動強度的方法。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四、學會增進心肺耐力的運動技能。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五、培養努力不懈的精神和毅力。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六、養成規律運動的習慣。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1-3-1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6-3-1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路遙知馬力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－心肺耐力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一、了解心肺耐力對於個人身心發展方面的重要。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二、了解增進心肺耐力的運動方式。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三、學會測量運動強度的方法。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四、學會增進心肺耐力的運動技能。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五、培養努力不懈的精神和毅力。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六、養成規律運動的習慣。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1-3-1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4-3-3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6-3-1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所向披靡－排球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(第一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一、了解排球扣球技術在比賽中角色扮演的重要。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二、了解排球扣球技術的手腕與腰部的運用。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三、學會排球扣球技術的種類與動作要領。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四、在練習中能與同學互相配合以達到練習的效果。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五、在比賽中，能觀察、欣賞並紀錄同儕的表現。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3-3-5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學科段考週</w:t>
            </w: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所向披靡－排球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一、了解排球扣球技術在比賽中角色扮演的重要。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二、了解排球扣球技術的手腕與腰部的運用。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三、學會排球扣球技術的種類與動作要領。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四、在練習中能與同學互相配合以達到練習的效果。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五、在比賽中，能觀察、欣賞並紀錄同儕的表現。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3-3-5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6E0433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6E0433" w:rsidRPr="00BE23CD" w:rsidRDefault="006E0433" w:rsidP="006E043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6E0433" w:rsidRDefault="006E0433" w:rsidP="006E0433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1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6E0433" w:rsidRPr="00083E33" w:rsidRDefault="006E0433" w:rsidP="006E0433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所向披靡－排球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一、了解排球扣球技術在比賽中角色扮演的重要。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二、了解排球扣球技術的手腕與腰部的運用。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三、學會排球扣球技術的種類與動作要領。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四、在練習中能與同學互相配合以達到練習的效果。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五、在比賽中，能觀</w:t>
            </w: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察、欣賞並紀錄同儕的表現。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3-3-1 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3-3-5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E0433" w:rsidRPr="00BE37E1" w:rsidTr="009C7046">
        <w:trPr>
          <w:trHeight w:val="567"/>
        </w:trPr>
        <w:tc>
          <w:tcPr>
            <w:tcW w:w="251" w:type="pct"/>
            <w:vAlign w:val="center"/>
          </w:tcPr>
          <w:p w:rsidR="006E0433" w:rsidRPr="00BE37E1" w:rsidRDefault="006E0433" w:rsidP="006E043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6E0433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限時專送－籃球</w:t>
            </w:r>
          </w:p>
        </w:tc>
        <w:tc>
          <w:tcPr>
            <w:tcW w:w="1393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一、了解傳接球在比賽中的重要性。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二、了解並學會各種傳接球方式。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三、熟練各種傳接球的方法。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3-3-2 3-3-3 3-3-4 </w:t>
            </w:r>
          </w:p>
        </w:tc>
        <w:tc>
          <w:tcPr>
            <w:tcW w:w="650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6E0433" w:rsidRPr="00BE23CD" w:rsidRDefault="006E0433" w:rsidP="006E04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6E0433" w:rsidRPr="00BE37E1" w:rsidRDefault="006E0433" w:rsidP="006E04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限時專送－籃球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一、了解傳接球在比賽中的重要性。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二、了解並學會各種傳接球方式。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三、熟練各種傳接球的方法。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3-3-2 3-3-3 3-3-4 </w:t>
            </w:r>
          </w:p>
        </w:tc>
        <w:tc>
          <w:tcPr>
            <w:tcW w:w="650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BE23CD">
              <w:rPr>
                <w:rFonts w:ascii="標楷體" w:eastAsia="標楷體" w:hAnsi="標楷體" w:hint="eastAsia"/>
                <w:i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BE23CD">
              <w:rPr>
                <w:rFonts w:ascii="標楷體" w:eastAsia="標楷體" w:hAnsi="標楷體" w:hint="eastAsia"/>
                <w:i/>
                <w:sz w:val="22"/>
              </w:rPr>
              <w:t>觀察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BE23CD">
              <w:rPr>
                <w:rFonts w:ascii="標楷體" w:eastAsia="標楷體" w:hAnsi="標楷體" w:hint="eastAsia"/>
                <w:i/>
                <w:sz w:val="22"/>
              </w:rPr>
              <w:t>實作及表現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第五單元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君子好球樂趣多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限時專送－籃球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一、了解傳接球在比賽中的重要性。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二、了解並學會各種傳接球方式。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三、熟練各種傳接球的方法。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3-3-2 3-3-3 3-3-4 </w:t>
            </w:r>
          </w:p>
        </w:tc>
        <w:tc>
          <w:tcPr>
            <w:tcW w:w="650" w:type="pct"/>
          </w:tcPr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</w:tcPr>
          <w:p w:rsidR="005417AD" w:rsidRPr="00BE23CD" w:rsidRDefault="005417AD" w:rsidP="005417AD">
            <w:r w:rsidRPr="00BE23CD">
              <w:rPr>
                <w:rFonts w:hint="eastAsia"/>
              </w:rPr>
              <w:t>2</w:t>
            </w:r>
          </w:p>
        </w:tc>
        <w:tc>
          <w:tcPr>
            <w:tcW w:w="677" w:type="pct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實作及表現</w:t>
            </w:r>
          </w:p>
          <w:p w:rsidR="005417AD" w:rsidRPr="00BE23CD" w:rsidRDefault="005417AD" w:rsidP="005417AD"/>
        </w:tc>
        <w:tc>
          <w:tcPr>
            <w:tcW w:w="246" w:type="pct"/>
            <w:vAlign w:val="center"/>
          </w:tcPr>
          <w:p w:rsidR="005417AD" w:rsidRPr="00083E33" w:rsidRDefault="005417AD" w:rsidP="005417AD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2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出奇制勝－羽球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一、學會殺球、反手發球的動作與擊球要領。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二、藉由組合動作的練習，體驗學習的效果。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三、增進身體移動與球路變化的適應能力。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四、透過簡易比賽，體驗比賽的規則與進行方式，培養公平競爭的精神。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3-3-3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3-3-4 6-3-</w:t>
            </w:r>
            <w:r w:rsidRPr="00BE23CD">
              <w:rPr>
                <w:rFonts w:ascii="標楷體" w:eastAsia="標楷體" w:hAnsi="標楷體" w:hint="eastAsia"/>
                <w:sz w:val="22"/>
              </w:rPr>
              <w:t>1</w:t>
            </w:r>
            <w:r w:rsidRPr="00BE23CD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</w:tcPr>
          <w:p w:rsidR="005417AD" w:rsidRPr="00BE23CD" w:rsidRDefault="005417AD" w:rsidP="005417AD">
            <w:r w:rsidRPr="00BE23CD">
              <w:rPr>
                <w:rFonts w:hint="eastAsia"/>
              </w:rPr>
              <w:t>2</w:t>
            </w:r>
          </w:p>
        </w:tc>
        <w:tc>
          <w:tcPr>
            <w:tcW w:w="677" w:type="pct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實作及表現</w:t>
            </w:r>
          </w:p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</w:t>
            </w:r>
            <w:r w:rsidRPr="00BE23CD">
              <w:rPr>
                <w:rFonts w:ascii="標楷體" w:eastAsia="標楷體" w:hAnsi="標楷體" w:cs="Arial" w:hint="eastAsia"/>
                <w:sz w:val="22"/>
              </w:rPr>
              <w:lastRenderedPageBreak/>
              <w:t>教育</w:t>
            </w:r>
          </w:p>
        </w:tc>
        <w:tc>
          <w:tcPr>
            <w:tcW w:w="246" w:type="pct"/>
            <w:vAlign w:val="center"/>
          </w:tcPr>
          <w:p w:rsidR="005417AD" w:rsidRPr="00083E33" w:rsidRDefault="005417AD" w:rsidP="005417AD">
            <w:pPr>
              <w:spacing w:line="3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83E33">
              <w:rPr>
                <w:rFonts w:eastAsia="標楷體"/>
                <w:sz w:val="18"/>
                <w:szCs w:val="18"/>
              </w:rPr>
              <w:lastRenderedPageBreak/>
              <w:t>學科段考</w:t>
            </w:r>
            <w:r w:rsidRPr="00083E33">
              <w:rPr>
                <w:rFonts w:eastAsia="標楷體"/>
                <w:sz w:val="18"/>
                <w:szCs w:val="18"/>
              </w:rPr>
              <w:lastRenderedPageBreak/>
              <w:t>週</w:t>
            </w: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2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出奇制勝－羽球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ㄧ、學會殺球、反手發球的動作與擊球要領。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二、藉由組合動作的練習，體驗學習的效果。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三、增進身體移動與球路變化的適應能力。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四、透過簡易比賽，體驗比賽的規則與進行方式，培養公平競爭的精神。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3-3-3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3-3-4 6-3-</w:t>
            </w:r>
            <w:r w:rsidRPr="00BE23CD">
              <w:rPr>
                <w:rFonts w:ascii="標楷體" w:eastAsia="標楷體" w:hAnsi="標楷體" w:hint="eastAsia"/>
                <w:sz w:val="22"/>
              </w:rPr>
              <w:t>1</w:t>
            </w:r>
            <w:r w:rsidRPr="00BE23CD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</w:tcPr>
          <w:p w:rsidR="005417AD" w:rsidRPr="00BE23CD" w:rsidRDefault="005417AD" w:rsidP="005417AD">
            <w:r w:rsidRPr="00BE23CD">
              <w:rPr>
                <w:rFonts w:hint="eastAsia"/>
              </w:rPr>
              <w:t>2</w:t>
            </w:r>
          </w:p>
        </w:tc>
        <w:tc>
          <w:tcPr>
            <w:tcW w:w="677" w:type="pct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實作及表現</w:t>
            </w:r>
          </w:p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</w:t>
            </w:r>
            <w:r w:rsidRPr="00BE23CD">
              <w:rPr>
                <w:rFonts w:ascii="標楷體" w:eastAsia="標楷體" w:hAnsi="標楷體"/>
                <w:sz w:val="22"/>
              </w:rPr>
              <w:t>2</w:t>
            </w:r>
            <w:r w:rsidRPr="00BE23CD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出奇制勝－羽球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ㄧ、學會殺球、反手發球的動作與擊球要領。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二、藉由組合動作的練習，體驗學習的效果。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三、增進身體移動與球路變化的適應能力。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四、透過簡易比賽，體驗比賽的規則與進行方式，培養公平競爭的精神。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3-3-3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>3-3-4 6-3-</w:t>
            </w:r>
            <w:r w:rsidRPr="00BE23CD">
              <w:rPr>
                <w:rFonts w:ascii="標楷體" w:eastAsia="標楷體" w:hAnsi="標楷體" w:hint="eastAsia"/>
                <w:sz w:val="22"/>
              </w:rPr>
              <w:t>1</w:t>
            </w:r>
            <w:r w:rsidRPr="00BE23CD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5417AD" w:rsidRPr="00BE23CD" w:rsidRDefault="005417AD" w:rsidP="005417AD">
            <w:r w:rsidRPr="00BE23CD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</w:tcPr>
          <w:p w:rsidR="005417AD" w:rsidRPr="00BE23CD" w:rsidRDefault="005417AD" w:rsidP="005417AD">
            <w:r w:rsidRPr="00BE23CD">
              <w:rPr>
                <w:rFonts w:hint="eastAsia"/>
              </w:rPr>
              <w:t>2</w:t>
            </w:r>
          </w:p>
        </w:tc>
        <w:tc>
          <w:tcPr>
            <w:tcW w:w="677" w:type="pct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i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i/>
                <w:sz w:val="22"/>
              </w:rPr>
              <w:t>實作及表現</w:t>
            </w:r>
          </w:p>
          <w:p w:rsidR="005417AD" w:rsidRPr="00BE23CD" w:rsidRDefault="005417AD" w:rsidP="005417AD"/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泳往直前－游泳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一、了解捷泳划臂及換氣的要領。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二、認識河川、溪流等戶外水上環境的潛在危險。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三、學會捷泳及水上自救的基本動作。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四、以捷泳提升心肺耐力並應用於水上活動安全防護。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五、養成對水上活動安全的警覺性。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4-3-3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5-3-1 5-3-3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實作及表現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泳往直前－游泳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一、了解捷泳划臂及換氣的要領。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二、認識河川、溪流等戶外水上環境的潛在危險。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三、學會捷泳及水上自救的基本動作。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四、以捷泳提升心肺耐力並應用於水上活動安全防護。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五、養成對水上活動安全的警覺性。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4-3-3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5-3-1 5-3-3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實作及表現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Pr="00083E33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泳往直前－游泳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一、了解捷泳划臂及換氣的要領。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二、認識河川、溪流等戶外水上環境的潛在危險。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三、學會捷泳及水上自救的基本動作。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四、以捷泳提升心肺耐力並應用於水上活動安全防護。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五、養成對水上活動安全的警覺性。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4-3-3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5-3-1 5-3-3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實作及表現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5417AD" w:rsidRPr="00BE37E1" w:rsidRDefault="005417AD" w:rsidP="005417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17AD" w:rsidRPr="00BE37E1" w:rsidTr="009C7046">
        <w:trPr>
          <w:trHeight w:val="567"/>
        </w:trPr>
        <w:tc>
          <w:tcPr>
            <w:tcW w:w="251" w:type="pct"/>
            <w:vAlign w:val="center"/>
          </w:tcPr>
          <w:p w:rsidR="005417AD" w:rsidRPr="00BE37E1" w:rsidRDefault="005417AD" w:rsidP="005417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5417A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第六單元</w:t>
            </w:r>
          </w:p>
          <w:p w:rsidR="005417AD" w:rsidRPr="00BE23CD" w:rsidRDefault="005417AD" w:rsidP="005417A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展現青春度危機</w:t>
            </w:r>
          </w:p>
          <w:p w:rsidR="005417AD" w:rsidRDefault="005417AD" w:rsidP="005417A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5417AD" w:rsidRDefault="005417AD" w:rsidP="005417AD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泳往直前－游泳</w:t>
            </w:r>
          </w:p>
          <w:p w:rsidR="005417AD" w:rsidRPr="00083E33" w:rsidRDefault="005417AD" w:rsidP="005417AD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一、了解捷泳划臂及換氣的要領。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二、認識河川、溪流等戶外水上環境的潛在危險。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三、學會捷泳及水上自救的基本動作。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四、以捷泳提升心肺耐力並應用於水上活動安全防護。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lastRenderedPageBreak/>
              <w:t>五、養成對水上活動安全的警覺性。</w:t>
            </w:r>
          </w:p>
        </w:tc>
        <w:tc>
          <w:tcPr>
            <w:tcW w:w="545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lastRenderedPageBreak/>
              <w:t xml:space="preserve">3-3-1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3-3-4 4-3-3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5-3-1 5-3-3 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E23CD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觀察</w:t>
            </w:r>
          </w:p>
          <w:p w:rsidR="005417AD" w:rsidRPr="00BE23CD" w:rsidRDefault="005417AD" w:rsidP="005417AD">
            <w:pPr>
              <w:rPr>
                <w:rFonts w:ascii="標楷體" w:eastAsia="標楷體" w:hAnsi="標楷體" w:cs="Arial"/>
                <w:sz w:val="22"/>
              </w:rPr>
            </w:pPr>
            <w:r w:rsidRPr="00BE23CD">
              <w:rPr>
                <w:rFonts w:ascii="標楷體" w:eastAsia="標楷體" w:hAnsi="標楷體" w:cs="Arial" w:hint="eastAsia"/>
                <w:sz w:val="22"/>
              </w:rPr>
              <w:t>實作及表現</w:t>
            </w:r>
          </w:p>
          <w:p w:rsidR="005417AD" w:rsidRPr="00BE23CD" w:rsidRDefault="005417AD" w:rsidP="005417A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" w:type="pct"/>
            <w:vAlign w:val="center"/>
          </w:tcPr>
          <w:p w:rsidR="005417AD" w:rsidRPr="00083E33" w:rsidRDefault="005417AD" w:rsidP="005417AD">
            <w:pPr>
              <w:spacing w:line="3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83E33">
              <w:rPr>
                <w:rFonts w:eastAsia="標楷體"/>
                <w:sz w:val="18"/>
                <w:szCs w:val="18"/>
              </w:rPr>
              <w:t>學科段考週</w:t>
            </w: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7A" w:rsidRDefault="0069707A" w:rsidP="00361B7B">
      <w:r>
        <w:separator/>
      </w:r>
    </w:p>
  </w:endnote>
  <w:endnote w:type="continuationSeparator" w:id="0">
    <w:p w:rsidR="0069707A" w:rsidRDefault="0069707A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7A" w:rsidRDefault="0069707A" w:rsidP="00361B7B">
      <w:r>
        <w:separator/>
      </w:r>
    </w:p>
  </w:footnote>
  <w:footnote w:type="continuationSeparator" w:id="0">
    <w:p w:rsidR="0069707A" w:rsidRDefault="0069707A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386"/>
    <w:multiLevelType w:val="hybridMultilevel"/>
    <w:tmpl w:val="4796AA0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75143"/>
    <w:multiLevelType w:val="hybridMultilevel"/>
    <w:tmpl w:val="FCCEFF2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560AB"/>
    <w:multiLevelType w:val="hybridMultilevel"/>
    <w:tmpl w:val="5DB2E0DC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E1C2E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CF479B"/>
    <w:multiLevelType w:val="hybridMultilevel"/>
    <w:tmpl w:val="5DB2E0DC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6" w15:restartNumberingAfterBreak="0">
    <w:nsid w:val="06A9398A"/>
    <w:multiLevelType w:val="hybridMultilevel"/>
    <w:tmpl w:val="601EF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A54DE0"/>
    <w:multiLevelType w:val="hybridMultilevel"/>
    <w:tmpl w:val="B56C8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AA17EF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247281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467123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F006DE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BD38E6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2700006"/>
    <w:multiLevelType w:val="hybridMultilevel"/>
    <w:tmpl w:val="4796AA0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A85A08"/>
    <w:multiLevelType w:val="hybridMultilevel"/>
    <w:tmpl w:val="72EC5D28"/>
    <w:lvl w:ilvl="0" w:tplc="99D2942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F61EC7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636168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4F0CB8"/>
    <w:multiLevelType w:val="hybridMultilevel"/>
    <w:tmpl w:val="FCCEFF2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994B34"/>
    <w:multiLevelType w:val="hybridMultilevel"/>
    <w:tmpl w:val="C1C2C6DA"/>
    <w:lvl w:ilvl="0" w:tplc="99D2942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AF0C4D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484CBF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7B49C7"/>
    <w:multiLevelType w:val="hybridMultilevel"/>
    <w:tmpl w:val="35B6D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CC3BF3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D04436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5A4487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51B5A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01C58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7" w15:restartNumberingAfterBreak="0">
    <w:nsid w:val="59892AA4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972783"/>
    <w:multiLevelType w:val="hybridMultilevel"/>
    <w:tmpl w:val="EC5072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791F92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0" w15:restartNumberingAfterBreak="0">
    <w:nsid w:val="62AE7BB3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3D5056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2A1428"/>
    <w:multiLevelType w:val="hybridMultilevel"/>
    <w:tmpl w:val="6A3888B6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095132"/>
    <w:multiLevelType w:val="hybridMultilevel"/>
    <w:tmpl w:val="601EF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4B6F2B"/>
    <w:multiLevelType w:val="hybridMultilevel"/>
    <w:tmpl w:val="10783AE8"/>
    <w:lvl w:ilvl="0" w:tplc="98A8FA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9E5064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C86EEC"/>
    <w:multiLevelType w:val="hybridMultilevel"/>
    <w:tmpl w:val="672C5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A17843"/>
    <w:multiLevelType w:val="hybridMultilevel"/>
    <w:tmpl w:val="71540454"/>
    <w:lvl w:ilvl="0" w:tplc="8D940F2E">
      <w:start w:val="1"/>
      <w:numFmt w:val="ideographDigit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6"/>
  </w:num>
  <w:num w:numId="6">
    <w:abstractNumId w:val="33"/>
  </w:num>
  <w:num w:numId="7">
    <w:abstractNumId w:val="7"/>
  </w:num>
  <w:num w:numId="8">
    <w:abstractNumId w:val="29"/>
  </w:num>
  <w:num w:numId="9">
    <w:abstractNumId w:val="27"/>
  </w:num>
  <w:num w:numId="10">
    <w:abstractNumId w:val="19"/>
  </w:num>
  <w:num w:numId="11">
    <w:abstractNumId w:val="10"/>
  </w:num>
  <w:num w:numId="12">
    <w:abstractNumId w:val="12"/>
  </w:num>
  <w:num w:numId="13">
    <w:abstractNumId w:val="35"/>
  </w:num>
  <w:num w:numId="14">
    <w:abstractNumId w:val="23"/>
  </w:num>
  <w:num w:numId="15">
    <w:abstractNumId w:val="8"/>
  </w:num>
  <w:num w:numId="16">
    <w:abstractNumId w:val="15"/>
  </w:num>
  <w:num w:numId="17">
    <w:abstractNumId w:val="11"/>
  </w:num>
  <w:num w:numId="18">
    <w:abstractNumId w:val="20"/>
  </w:num>
  <w:num w:numId="19">
    <w:abstractNumId w:val="30"/>
  </w:num>
  <w:num w:numId="20">
    <w:abstractNumId w:val="28"/>
  </w:num>
  <w:num w:numId="21">
    <w:abstractNumId w:val="21"/>
  </w:num>
  <w:num w:numId="22">
    <w:abstractNumId w:val="36"/>
  </w:num>
  <w:num w:numId="23">
    <w:abstractNumId w:val="24"/>
  </w:num>
  <w:num w:numId="24">
    <w:abstractNumId w:val="3"/>
  </w:num>
  <w:num w:numId="25">
    <w:abstractNumId w:val="22"/>
  </w:num>
  <w:num w:numId="26">
    <w:abstractNumId w:val="9"/>
  </w:num>
  <w:num w:numId="27">
    <w:abstractNumId w:val="32"/>
  </w:num>
  <w:num w:numId="28">
    <w:abstractNumId w:val="31"/>
  </w:num>
  <w:num w:numId="29">
    <w:abstractNumId w:val="16"/>
  </w:num>
  <w:num w:numId="30">
    <w:abstractNumId w:val="25"/>
  </w:num>
  <w:num w:numId="31">
    <w:abstractNumId w:val="17"/>
  </w:num>
  <w:num w:numId="32">
    <w:abstractNumId w:val="1"/>
  </w:num>
  <w:num w:numId="33">
    <w:abstractNumId w:val="2"/>
  </w:num>
  <w:num w:numId="34">
    <w:abstractNumId w:val="4"/>
  </w:num>
  <w:num w:numId="35">
    <w:abstractNumId w:val="0"/>
  </w:num>
  <w:num w:numId="36">
    <w:abstractNumId w:val="13"/>
  </w:num>
  <w:num w:numId="37">
    <w:abstractNumId w:val="14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92528"/>
    <w:rsid w:val="000B4D9B"/>
    <w:rsid w:val="000F0926"/>
    <w:rsid w:val="00104899"/>
    <w:rsid w:val="00112006"/>
    <w:rsid w:val="001519AF"/>
    <w:rsid w:val="001708CE"/>
    <w:rsid w:val="0029233F"/>
    <w:rsid w:val="002B552A"/>
    <w:rsid w:val="00361B7B"/>
    <w:rsid w:val="003C2901"/>
    <w:rsid w:val="0046103D"/>
    <w:rsid w:val="00465598"/>
    <w:rsid w:val="004A611D"/>
    <w:rsid w:val="004E2A02"/>
    <w:rsid w:val="005417AD"/>
    <w:rsid w:val="00600238"/>
    <w:rsid w:val="006468EA"/>
    <w:rsid w:val="0069707A"/>
    <w:rsid w:val="006E0433"/>
    <w:rsid w:val="0073191B"/>
    <w:rsid w:val="00743275"/>
    <w:rsid w:val="00764F68"/>
    <w:rsid w:val="007B6B9A"/>
    <w:rsid w:val="00846E59"/>
    <w:rsid w:val="00857162"/>
    <w:rsid w:val="00877BED"/>
    <w:rsid w:val="008B5409"/>
    <w:rsid w:val="008C0DCF"/>
    <w:rsid w:val="008E64AA"/>
    <w:rsid w:val="00962AD4"/>
    <w:rsid w:val="00962E5D"/>
    <w:rsid w:val="00991DA0"/>
    <w:rsid w:val="009C7046"/>
    <w:rsid w:val="009D4196"/>
    <w:rsid w:val="009F23F4"/>
    <w:rsid w:val="00A9499E"/>
    <w:rsid w:val="00C40F87"/>
    <w:rsid w:val="00C6046F"/>
    <w:rsid w:val="00C64E09"/>
    <w:rsid w:val="00C95176"/>
    <w:rsid w:val="00CE57B8"/>
    <w:rsid w:val="00D77E77"/>
    <w:rsid w:val="00E1415F"/>
    <w:rsid w:val="00E2656D"/>
    <w:rsid w:val="00E448A1"/>
    <w:rsid w:val="00E724E2"/>
    <w:rsid w:val="00F06323"/>
    <w:rsid w:val="00F312BA"/>
    <w:rsid w:val="00F51E70"/>
    <w:rsid w:val="00F53963"/>
    <w:rsid w:val="00FA1637"/>
    <w:rsid w:val="00FA1AF1"/>
    <w:rsid w:val="00FF4232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E42BF-9E53-40B2-BB54-1410112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2B552A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Note Heading"/>
    <w:basedOn w:val="a"/>
    <w:next w:val="a"/>
    <w:link w:val="a8"/>
    <w:rsid w:val="008B5409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8">
    <w:name w:val="註釋標題 字元"/>
    <w:basedOn w:val="a0"/>
    <w:link w:val="a7"/>
    <w:rsid w:val="008B5409"/>
    <w:rPr>
      <w:rFonts w:ascii="標楷體" w:eastAsia="標楷體" w:hAnsi="標楷體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8C0DCF"/>
    <w:pPr>
      <w:ind w:leftChars="200" w:left="480"/>
    </w:pPr>
  </w:style>
  <w:style w:type="paragraph" w:styleId="aa">
    <w:name w:val="Plain Text"/>
    <w:basedOn w:val="a"/>
    <w:link w:val="ab"/>
    <w:rsid w:val="0046103D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46103D"/>
    <w:rPr>
      <w:rFonts w:ascii="細明體" w:eastAsia="細明體" w:hAnsi="Courier New" w:cs="Courier New"/>
      <w:szCs w:val="24"/>
    </w:rPr>
  </w:style>
  <w:style w:type="paragraph" w:styleId="ac">
    <w:name w:val="Body Text"/>
    <w:basedOn w:val="a"/>
    <w:link w:val="ad"/>
    <w:uiPriority w:val="99"/>
    <w:rsid w:val="0046103D"/>
    <w:pPr>
      <w:jc w:val="center"/>
    </w:pPr>
    <w:rPr>
      <w:rFonts w:ascii="Times New Roman" w:eastAsia="標楷體" w:hAnsi="Times New Roman"/>
      <w:sz w:val="36"/>
      <w:szCs w:val="24"/>
    </w:rPr>
  </w:style>
  <w:style w:type="character" w:customStyle="1" w:styleId="ad">
    <w:name w:val="本文 字元"/>
    <w:basedOn w:val="a0"/>
    <w:link w:val="ac"/>
    <w:uiPriority w:val="99"/>
    <w:rsid w:val="0046103D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Kuo</dc:creator>
  <cp:keywords/>
  <dc:description/>
  <cp:lastModifiedBy>user</cp:lastModifiedBy>
  <cp:revision>13</cp:revision>
  <dcterms:created xsi:type="dcterms:W3CDTF">2019-05-10T03:36:00Z</dcterms:created>
  <dcterms:modified xsi:type="dcterms:W3CDTF">2019-07-01T03:57:00Z</dcterms:modified>
</cp:coreProperties>
</file>