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BE37E1" w:rsidRDefault="00846E59" w:rsidP="00CF72BA">
      <w:pPr>
        <w:widowControl/>
        <w:spacing w:line="400" w:lineRule="exact"/>
        <w:jc w:val="center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>
        <w:rPr>
          <w:rFonts w:ascii="標楷體" w:eastAsia="標楷體" w:hAnsi="標楷體" w:cs="Arial" w:hint="eastAsia"/>
          <w:color w:val="FF0000"/>
          <w:sz w:val="32"/>
          <w:szCs w:val="32"/>
          <w:lang w:eastAsia="zh-HK"/>
        </w:rPr>
        <w:t xml:space="preserve"> </w:t>
      </w:r>
      <w:r w:rsidR="00CF72BA" w:rsidRPr="00CF72BA">
        <w:rPr>
          <w:rFonts w:ascii="標楷體" w:eastAsia="標楷體" w:hAnsi="標楷體" w:cs="Arial" w:hint="eastAsia"/>
          <w:color w:val="000000" w:themeColor="text1"/>
          <w:szCs w:val="32"/>
        </w:rPr>
        <w:t>民生</w:t>
      </w:r>
      <w:r w:rsidR="00CF72BA">
        <w:rPr>
          <w:rFonts w:ascii="標楷體" w:eastAsia="標楷體" w:hAnsi="標楷體" w:cs="Arial" w:hint="eastAsia"/>
          <w:color w:val="FF0000"/>
          <w:sz w:val="32"/>
          <w:szCs w:val="32"/>
          <w:lang w:eastAsia="zh-HK"/>
        </w:rPr>
        <w:t xml:space="preserve">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>
        <w:rPr>
          <w:rFonts w:ascii="標楷體" w:eastAsia="標楷體" w:hAnsi="標楷體" w:cs="Arial" w:hint="eastAsia"/>
          <w:color w:val="FF0000"/>
          <w:szCs w:val="24"/>
        </w:rPr>
        <w:t xml:space="preserve"> </w:t>
      </w:r>
      <w:r w:rsidR="00CF72BA" w:rsidRPr="00CF72BA">
        <w:rPr>
          <w:rFonts w:ascii="標楷體" w:eastAsia="標楷體" w:hAnsi="標楷體" w:cs="Arial"/>
          <w:color w:val="000000" w:themeColor="text1"/>
          <w:szCs w:val="24"/>
        </w:rPr>
        <w:t>108</w:t>
      </w:r>
      <w:r>
        <w:rPr>
          <w:rFonts w:ascii="標楷體" w:eastAsia="標楷體" w:hAnsi="標楷體" w:cs="Arial" w:hint="eastAsia"/>
          <w:color w:val="FF0000"/>
          <w:szCs w:val="24"/>
        </w:rPr>
        <w:t xml:space="preserve"> </w:t>
      </w:r>
      <w:r w:rsidRPr="00BE37E1">
        <w:rPr>
          <w:rFonts w:ascii="標楷體" w:eastAsia="標楷體" w:hAnsi="標楷體" w:cs="Arial" w:hint="eastAsia"/>
          <w:szCs w:val="24"/>
        </w:rPr>
        <w:t>學年度</w:t>
      </w:r>
      <w:r>
        <w:rPr>
          <w:rFonts w:ascii="標楷體" w:eastAsia="標楷體" w:hAnsi="標楷體"/>
          <w:szCs w:val="24"/>
        </w:rPr>
        <w:t xml:space="preserve"> </w:t>
      </w:r>
      <w:r w:rsidR="00CF72BA">
        <w:rPr>
          <w:rFonts w:ascii="標楷體" w:eastAsia="標楷體" w:hAnsi="標楷體"/>
          <w:szCs w:val="24"/>
        </w:rPr>
        <w:t xml:space="preserve">8 </w:t>
      </w:r>
      <w:r w:rsidRPr="00BE37E1">
        <w:rPr>
          <w:rFonts w:ascii="標楷體" w:eastAsia="標楷體" w:hAnsi="標楷體" w:hint="eastAsia"/>
          <w:szCs w:val="24"/>
        </w:rPr>
        <w:t>年級</w:t>
      </w:r>
      <w:r w:rsidR="00492F7F" w:rsidRPr="00492F7F">
        <w:rPr>
          <w:rFonts w:ascii="標楷體" w:eastAsia="標楷體" w:hAnsi="標楷體" w:hint="eastAsia"/>
          <w:szCs w:val="24"/>
          <w:lang w:eastAsia="zh-HK"/>
        </w:rPr>
        <w:t xml:space="preserve">彈性學習  跨國巡禮  </w:t>
      </w:r>
      <w:r w:rsidRPr="00BE37E1">
        <w:rPr>
          <w:rFonts w:ascii="標楷體" w:eastAsia="標楷體" w:hAnsi="標楷體" w:hint="eastAsia"/>
          <w:szCs w:val="24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492F7F">
        <w:rPr>
          <w:rFonts w:ascii="標楷體" w:eastAsia="標楷體" w:hAnsi="標楷體" w:hint="eastAsia"/>
          <w:sz w:val="24"/>
          <w:szCs w:val="24"/>
        </w:rPr>
        <w:t>自編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492F7F" w:rsidRP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認識不同國家的社會文化與風俗</w:t>
      </w:r>
    </w:p>
    <w:p w:rsid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認識不同國家的政府體制。</w:t>
      </w:r>
    </w:p>
    <w:p w:rsid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瞭解各國政治的發展狀況。</w:t>
      </w:r>
    </w:p>
    <w:p w:rsidR="00492F7F" w:rsidRP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瞭解不同國家法律的體系與差異。</w:t>
      </w:r>
    </w:p>
    <w:p w:rsidR="00492F7F" w:rsidRP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瞭解國際上受到重視的重要人權</w:t>
      </w:r>
    </w:p>
    <w:p w:rsidR="00492F7F" w:rsidRDefault="00492F7F" w:rsidP="00492F7F">
      <w:pPr>
        <w:pStyle w:val="a7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492F7F">
        <w:rPr>
          <w:rFonts w:eastAsia="標楷體" w:hint="eastAsia"/>
        </w:rPr>
        <w:t>瞭解國際上保障人權的重要條約。</w:t>
      </w:r>
    </w:p>
    <w:p w:rsidR="00846E59" w:rsidRPr="00492F7F" w:rsidRDefault="00B50BF5" w:rsidP="00492F7F">
      <w:pPr>
        <w:jc w:val="both"/>
        <w:rPr>
          <w:rFonts w:eastAsia="標楷體"/>
        </w:rPr>
      </w:pPr>
      <w:r w:rsidRPr="00492F7F">
        <w:rPr>
          <w:rFonts w:ascii="微軟正黑體" w:eastAsia="微軟正黑體" w:hAnsi="微軟正黑體" w:hint="eastAsia"/>
        </w:rPr>
        <w:t>二、</w:t>
      </w:r>
      <w:r w:rsidR="00846E59" w:rsidRPr="00492F7F">
        <w:rPr>
          <w:rFonts w:ascii="標楷體" w:eastAsia="標楷體" w:hAnsi="標楷體" w:hint="eastAsia"/>
          <w:szCs w:val="24"/>
          <w:lang w:eastAsia="zh-HK"/>
        </w:rPr>
        <w:t>第</w:t>
      </w:r>
      <w:r w:rsidR="00846E59" w:rsidRPr="00492F7F">
        <w:rPr>
          <w:rFonts w:ascii="標楷體" w:eastAsia="標楷體" w:hAnsi="標楷體"/>
          <w:szCs w:val="24"/>
        </w:rPr>
        <w:t>1</w:t>
      </w:r>
      <w:r w:rsidR="00846E59" w:rsidRPr="00492F7F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BE37E1" w:rsidTr="00B50BF5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92F7F" w:rsidRPr="00BE37E1" w:rsidTr="009C0170">
        <w:trPr>
          <w:trHeight w:val="937"/>
        </w:trPr>
        <w:tc>
          <w:tcPr>
            <w:tcW w:w="246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492F7F" w:rsidRPr="00F77FFE" w:rsidRDefault="00492F7F" w:rsidP="00492F7F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介紹亞洲部分國家的社會文化概況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vAlign w:val="center"/>
          </w:tcPr>
          <w:p w:rsidR="00492F7F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492F7F" w:rsidRPr="00F77FFE" w:rsidRDefault="00492F7F" w:rsidP="00492F7F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shd w:val="clear" w:color="auto" w:fill="auto"/>
          </w:tcPr>
          <w:p w:rsidR="009C0170" w:rsidRPr="00F77FFE" w:rsidRDefault="009C0170" w:rsidP="009C0170">
            <w:pPr>
              <w:rPr>
                <w:rFonts w:ascii="標楷體" w:eastAsia="標楷體" w:hAnsi="標楷體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  <w:szCs w:val="22"/>
              </w:rPr>
            </w:pPr>
            <w:r w:rsidRPr="00F77FFE">
              <w:rPr>
                <w:rFonts w:hint="eastAsia"/>
                <w:sz w:val="22"/>
                <w:szCs w:val="22"/>
              </w:rPr>
              <w:t>介紹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歐</w:t>
            </w:r>
            <w:r w:rsidRPr="00F77FFE">
              <w:rPr>
                <w:rFonts w:hint="eastAsia"/>
                <w:sz w:val="22"/>
                <w:szCs w:val="22"/>
              </w:rPr>
              <w:t>洲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部分</w:t>
            </w:r>
            <w:r w:rsidRPr="00F77FFE">
              <w:rPr>
                <w:rFonts w:hint="eastAsia"/>
                <w:sz w:val="22"/>
                <w:szCs w:val="22"/>
              </w:rPr>
              <w:t>國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家</w:t>
            </w:r>
            <w:r w:rsidRPr="00F77FFE">
              <w:rPr>
                <w:rFonts w:hint="eastAsia"/>
                <w:sz w:val="22"/>
                <w:szCs w:val="22"/>
              </w:rPr>
              <w:t>的社會文化概況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9C0170" w:rsidRPr="00F77FFE" w:rsidRDefault="009C0170" w:rsidP="009C0170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1.課堂問答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3.心得報告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shd w:val="clear" w:color="auto" w:fill="auto"/>
          </w:tcPr>
          <w:p w:rsidR="009C0170" w:rsidRPr="00F77FFE" w:rsidRDefault="009C0170" w:rsidP="009C0170">
            <w:pPr>
              <w:rPr>
                <w:rFonts w:ascii="標楷體" w:eastAsia="標楷體" w:hAnsi="標楷體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</w:rPr>
              <w:t>介紹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非洲部分</w:t>
            </w:r>
            <w:r w:rsidRPr="00F77FFE">
              <w:rPr>
                <w:rFonts w:hint="eastAsia"/>
                <w:sz w:val="22"/>
                <w:szCs w:val="22"/>
              </w:rPr>
              <w:t>國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家</w:t>
            </w:r>
            <w:r w:rsidRPr="00F77FFE">
              <w:rPr>
                <w:rFonts w:hint="eastAsia"/>
                <w:sz w:val="22"/>
                <w:szCs w:val="22"/>
              </w:rPr>
              <w:t>的社會文化概況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9C0170" w:rsidRPr="00F77FFE" w:rsidRDefault="009C0170" w:rsidP="009C0170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shd w:val="clear" w:color="auto" w:fill="auto"/>
          </w:tcPr>
          <w:p w:rsidR="009C0170" w:rsidRPr="00F77FFE" w:rsidRDefault="009C0170" w:rsidP="009C0170">
            <w:pPr>
              <w:rPr>
                <w:rFonts w:ascii="標楷體" w:eastAsia="標楷體" w:hAnsi="標楷體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介紹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大洋洲部分</w:t>
            </w:r>
            <w:r w:rsidRPr="00F77FFE">
              <w:rPr>
                <w:rFonts w:hint="eastAsia"/>
                <w:sz w:val="22"/>
                <w:szCs w:val="22"/>
              </w:rPr>
              <w:t>國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家</w:t>
            </w:r>
            <w:r w:rsidRPr="00F77FFE">
              <w:rPr>
                <w:rFonts w:hint="eastAsia"/>
                <w:sz w:val="22"/>
                <w:szCs w:val="22"/>
              </w:rPr>
              <w:t>的社會文化概況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9C0170" w:rsidRPr="00F77FFE" w:rsidRDefault="009C0170" w:rsidP="009C0170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shd w:val="clear" w:color="auto" w:fill="auto"/>
          </w:tcPr>
          <w:p w:rsidR="009C0170" w:rsidRPr="00F77FFE" w:rsidRDefault="009C0170" w:rsidP="009C0170">
            <w:pPr>
              <w:rPr>
                <w:rFonts w:ascii="標楷體" w:eastAsia="標楷體" w:hAnsi="標楷體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介紹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北美洲部分</w:t>
            </w:r>
            <w:r w:rsidRPr="00F77FFE">
              <w:rPr>
                <w:rFonts w:hint="eastAsia"/>
                <w:sz w:val="22"/>
                <w:szCs w:val="22"/>
              </w:rPr>
              <w:t>國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家</w:t>
            </w:r>
            <w:r w:rsidRPr="00F77FFE">
              <w:rPr>
                <w:rFonts w:hint="eastAsia"/>
                <w:sz w:val="22"/>
                <w:szCs w:val="22"/>
              </w:rPr>
              <w:t>的社會文化概況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9C0170" w:rsidRPr="00F77FFE" w:rsidRDefault="009C0170" w:rsidP="009C0170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2.心得報告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shd w:val="clear" w:color="auto" w:fill="auto"/>
          </w:tcPr>
          <w:p w:rsidR="009C0170" w:rsidRPr="00F77FFE" w:rsidRDefault="009C0170" w:rsidP="009C0170">
            <w:pPr>
              <w:rPr>
                <w:rFonts w:ascii="標楷體" w:eastAsia="標楷體" w:hAnsi="標楷體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社會文化篇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介紹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南美洲部分</w:t>
            </w:r>
            <w:r w:rsidRPr="00F77FFE">
              <w:rPr>
                <w:rFonts w:hint="eastAsia"/>
                <w:sz w:val="22"/>
                <w:szCs w:val="22"/>
              </w:rPr>
              <w:t>國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家</w:t>
            </w:r>
            <w:r w:rsidRPr="00F77FFE">
              <w:rPr>
                <w:rFonts w:hint="eastAsia"/>
                <w:sz w:val="22"/>
                <w:szCs w:val="22"/>
              </w:rPr>
              <w:t>的社會文化概況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4-4-3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9-4-2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/>
                <w:sz w:val="22"/>
              </w:rPr>
              <w:t>9-4-3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多元文化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9C0170" w:rsidRPr="00F77FFE" w:rsidRDefault="009C0170" w:rsidP="009C0170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1.資料蒐集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1037" w:type="pct"/>
            <w:vAlign w:val="center"/>
          </w:tcPr>
          <w:p w:rsidR="009C0170" w:rsidRPr="00F77FFE" w:rsidRDefault="009C0170" w:rsidP="009C0170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國家體制篇</w:t>
            </w:r>
          </w:p>
        </w:tc>
        <w:tc>
          <w:tcPr>
            <w:tcW w:w="1393" w:type="pct"/>
            <w:vAlign w:val="center"/>
          </w:tcPr>
          <w:p w:rsidR="009C0170" w:rsidRPr="00F77FFE" w:rsidRDefault="009C0170" w:rsidP="009C017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瞭解世界各國的類型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vAlign w:val="center"/>
          </w:tcPr>
          <w:p w:rsidR="009C0170" w:rsidRPr="00F77FFE" w:rsidRDefault="0010446E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國際</w:t>
            </w:r>
            <w:bookmarkStart w:id="0" w:name="_GoBack"/>
            <w:bookmarkEnd w:id="0"/>
          </w:p>
        </w:tc>
        <w:tc>
          <w:tcPr>
            <w:tcW w:w="204" w:type="pct"/>
            <w:vAlign w:val="center"/>
          </w:tcPr>
          <w:p w:rsidR="009C0170" w:rsidRPr="00F77FFE" w:rsidRDefault="009C0170" w:rsidP="009C0170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bCs/>
                <w:kern w:val="0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C0170" w:rsidRPr="00F77FFE" w:rsidRDefault="009C0170" w:rsidP="009C017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國家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vAlign w:val="center"/>
          </w:tcPr>
          <w:p w:rsidR="0010446E" w:rsidRPr="00F77FFE" w:rsidRDefault="0010446E" w:rsidP="0010446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比較不同類型國家的差異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vAlign w:val="center"/>
          </w:tcPr>
          <w:p w:rsidR="0010446E" w:rsidRDefault="0010446E" w:rsidP="0010446E">
            <w:pPr>
              <w:jc w:val="center"/>
            </w:pPr>
            <w:r w:rsidRPr="00F85B4E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vAlign w:val="center"/>
          </w:tcPr>
          <w:p w:rsidR="0010446E" w:rsidRPr="00F77FFE" w:rsidRDefault="0010446E" w:rsidP="0010446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bCs/>
                <w:kern w:val="0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10446E" w:rsidRPr="00F77FFE" w:rsidRDefault="0010446E" w:rsidP="001044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政府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  <w:szCs w:val="22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瞭解目前國家類型的發展趨勢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F85B4E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政府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認識各國中央政府的制度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CB02CA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政府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認識各國中央政府的制度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CB02CA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分組討論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政府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認識各國中央政府與地方政府的權力畫分方式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CB02CA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問題討論</w:t>
            </w:r>
          </w:p>
          <w:p w:rsidR="0010446E" w:rsidRPr="00F77FFE" w:rsidRDefault="0010446E" w:rsidP="0010446E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  <w:p w:rsidR="0010446E" w:rsidRPr="00F77FFE" w:rsidRDefault="0010446E" w:rsidP="0010446E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課堂問答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C0170" w:rsidRPr="00BE37E1" w:rsidTr="009C0170">
        <w:trPr>
          <w:trHeight w:val="937"/>
        </w:trPr>
        <w:tc>
          <w:tcPr>
            <w:tcW w:w="246" w:type="pct"/>
            <w:vAlign w:val="center"/>
          </w:tcPr>
          <w:p w:rsidR="009C0170" w:rsidRPr="00BE37E1" w:rsidRDefault="009C0170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政府</w:t>
            </w:r>
            <w:r w:rsidRPr="00F77FFE">
              <w:rPr>
                <w:rFonts w:hint="eastAsia"/>
                <w:sz w:val="22"/>
                <w:szCs w:val="22"/>
              </w:rPr>
              <w:t>體制篇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比較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我國的政府體制與其他國家的差異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9C0170" w:rsidRPr="00F77FFE" w:rsidRDefault="009C0170" w:rsidP="009C0170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9C0170" w:rsidRPr="00F77FFE" w:rsidRDefault="009C0170" w:rsidP="009C0170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9C0170" w:rsidRPr="00F77FFE" w:rsidRDefault="0010446E" w:rsidP="009C0170">
            <w:pPr>
              <w:spacing w:line="340" w:lineRule="exact"/>
              <w:jc w:val="center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9C0170" w:rsidRPr="00F77FFE" w:rsidRDefault="009C0170" w:rsidP="009C017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9C0170" w:rsidRPr="00F77FFE" w:rsidRDefault="009C0170" w:rsidP="009C0170">
            <w:pPr>
              <w:pStyle w:val="a8"/>
              <w:jc w:val="left"/>
              <w:rPr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1.課堂問答</w:t>
            </w:r>
          </w:p>
          <w:p w:rsidR="009C0170" w:rsidRPr="00F77FFE" w:rsidRDefault="009C0170" w:rsidP="009C0170">
            <w:pPr>
              <w:pStyle w:val="a8"/>
              <w:jc w:val="left"/>
              <w:rPr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2.紙筆測驗</w:t>
            </w:r>
          </w:p>
          <w:p w:rsidR="009C0170" w:rsidRPr="00F77FFE" w:rsidRDefault="009C0170" w:rsidP="009C0170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3.資料蒐集</w:t>
            </w:r>
          </w:p>
        </w:tc>
        <w:tc>
          <w:tcPr>
            <w:tcW w:w="250" w:type="pct"/>
            <w:vAlign w:val="center"/>
          </w:tcPr>
          <w:p w:rsidR="009C0170" w:rsidRPr="00BE37E1" w:rsidRDefault="009C0170" w:rsidP="009C0170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92F7F" w:rsidRPr="00BE37E1" w:rsidTr="009C0170">
        <w:trPr>
          <w:trHeight w:val="937"/>
        </w:trPr>
        <w:tc>
          <w:tcPr>
            <w:tcW w:w="246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不同國家的</w:t>
            </w:r>
            <w:r w:rsidRPr="00F77FFE">
              <w:rPr>
                <w:rFonts w:hint="eastAsia"/>
                <w:sz w:val="22"/>
                <w:szCs w:val="22"/>
              </w:rPr>
              <w:t>政黨制度型態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10446E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92F7F" w:rsidRPr="00BE37E1" w:rsidTr="009C0170">
        <w:trPr>
          <w:trHeight w:val="937"/>
        </w:trPr>
        <w:tc>
          <w:tcPr>
            <w:tcW w:w="246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不同國家的</w:t>
            </w:r>
            <w:r w:rsidRPr="00F77FFE">
              <w:rPr>
                <w:rFonts w:hint="eastAsia"/>
                <w:sz w:val="22"/>
                <w:szCs w:val="22"/>
              </w:rPr>
              <w:t>政黨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政治運作現況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10446E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不同國家的選舉制度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0B6078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瞭解不同國家的選舉制度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0B6078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經濟制度對政治制度的影響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5-4-5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5-4-6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6-4-1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0B6078">
              <w:rPr>
                <w:rFonts w:ascii="標楷體" w:eastAsia="標楷體" w:hAnsi="標楷體" w:cs="Arial" w:hint="eastAsia"/>
                <w:sz w:val="22"/>
              </w:rPr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隨堂測驗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10446E" w:rsidRPr="00BE37E1" w:rsidTr="0010446E">
        <w:trPr>
          <w:trHeight w:val="937"/>
        </w:trPr>
        <w:tc>
          <w:tcPr>
            <w:tcW w:w="246" w:type="pct"/>
            <w:vAlign w:val="center"/>
          </w:tcPr>
          <w:p w:rsidR="0010446E" w:rsidRPr="00BE37E1" w:rsidRDefault="0010446E" w:rsidP="0010446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民主政治在國際社會的發展情形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10446E" w:rsidRPr="00F77FFE" w:rsidRDefault="0010446E" w:rsidP="0010446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10446E" w:rsidRPr="00F77FFE" w:rsidRDefault="0010446E" w:rsidP="0010446E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lastRenderedPageBreak/>
              <w:t>6-4-7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0446E" w:rsidRDefault="0010446E" w:rsidP="0010446E">
            <w:pPr>
              <w:jc w:val="center"/>
            </w:pPr>
            <w:r w:rsidRPr="000B6078">
              <w:rPr>
                <w:rFonts w:ascii="標楷體" w:eastAsia="標楷體" w:hAnsi="標楷體" w:cs="Arial" w:hint="eastAsia"/>
                <w:sz w:val="22"/>
              </w:rPr>
              <w:lastRenderedPageBreak/>
              <w:t>國際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10446E" w:rsidRPr="00F77FFE" w:rsidRDefault="0010446E" w:rsidP="0010446E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0446E" w:rsidRPr="00F77FFE" w:rsidRDefault="0010446E" w:rsidP="0010446E">
            <w:pPr>
              <w:pStyle w:val="a8"/>
              <w:jc w:val="left"/>
              <w:rPr>
                <w:sz w:val="22"/>
              </w:rPr>
            </w:pPr>
            <w:r w:rsidRPr="00F77FFE"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F77FFE">
              <w:rPr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</w:p>
        </w:tc>
        <w:tc>
          <w:tcPr>
            <w:tcW w:w="250" w:type="pct"/>
            <w:vAlign w:val="center"/>
          </w:tcPr>
          <w:p w:rsidR="0010446E" w:rsidRPr="00BE37E1" w:rsidRDefault="0010446E" w:rsidP="0010446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92F7F" w:rsidRPr="00BE37E1" w:rsidTr="009C0170">
        <w:trPr>
          <w:trHeight w:val="567"/>
        </w:trPr>
        <w:tc>
          <w:tcPr>
            <w:tcW w:w="246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獨裁政治政在國際社會的發展情形</w:t>
            </w:r>
          </w:p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觀賞影片</w:t>
            </w:r>
            <w:r w:rsidRPr="00F77FFE">
              <w:rPr>
                <w:sz w:val="22"/>
                <w:szCs w:val="22"/>
                <w:lang w:eastAsia="zh-TW"/>
              </w:rPr>
              <w:t>—</w:t>
            </w:r>
            <w:r>
              <w:rPr>
                <w:rFonts w:hint="eastAsia"/>
                <w:sz w:val="22"/>
                <w:szCs w:val="22"/>
                <w:lang w:eastAsia="zh-TW"/>
              </w:rPr>
              <w:t>我愛金正恩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bCs/>
                <w:snapToGrid w:val="0"/>
                <w:kern w:val="0"/>
                <w:sz w:val="18"/>
                <w:szCs w:val="18"/>
              </w:rPr>
              <w:t>1.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心得報告</w:t>
            </w:r>
            <w:r w:rsidRPr="00F77FFE">
              <w:rPr>
                <w:bCs/>
                <w:snapToGrid w:val="0"/>
                <w:kern w:val="0"/>
                <w:sz w:val="18"/>
                <w:szCs w:val="18"/>
              </w:rPr>
              <w:br/>
              <w:t>2.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F77FFE">
              <w:rPr>
                <w:bCs/>
                <w:snapToGrid w:val="0"/>
                <w:kern w:val="0"/>
                <w:sz w:val="18"/>
                <w:szCs w:val="18"/>
              </w:rPr>
              <w:br/>
              <w:t>3.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9C0170">
        <w:trPr>
          <w:trHeight w:val="567"/>
        </w:trPr>
        <w:tc>
          <w:tcPr>
            <w:tcW w:w="246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政治環境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</w:rPr>
              <w:t>瞭解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獨裁政治在中國的發展情形</w:t>
            </w:r>
          </w:p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觀賞影片</w:t>
            </w:r>
            <w:r w:rsidRPr="00F77FFE">
              <w:rPr>
                <w:sz w:val="22"/>
                <w:szCs w:val="22"/>
                <w:lang w:eastAsia="zh-TW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請投我一票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3-4-3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3-4-4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5-4-4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6-4-2</w:t>
            </w:r>
          </w:p>
          <w:p w:rsidR="00492F7F" w:rsidRPr="00F77FFE" w:rsidRDefault="00492F7F" w:rsidP="00492F7F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6-4-6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6-4-7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0BF5" w:rsidRDefault="00B50BF5" w:rsidP="00B50BF5">
      <w:pPr>
        <w:spacing w:line="400" w:lineRule="exact"/>
        <w:rPr>
          <w:rFonts w:ascii="標楷體" w:eastAsia="標楷體" w:hAnsi="標楷體"/>
          <w:szCs w:val="24"/>
          <w:lang w:eastAsia="zh-HK"/>
        </w:rPr>
      </w:pPr>
    </w:p>
    <w:p w:rsidR="00B50BF5" w:rsidRDefault="00B50BF5" w:rsidP="00B50BF5">
      <w:pPr>
        <w:spacing w:line="400" w:lineRule="exact"/>
        <w:rPr>
          <w:rFonts w:ascii="標楷體" w:eastAsia="標楷體" w:hAnsi="標楷體"/>
          <w:szCs w:val="24"/>
          <w:lang w:eastAsia="zh-HK"/>
        </w:rPr>
      </w:pPr>
    </w:p>
    <w:p w:rsidR="00846E59" w:rsidRPr="00B50BF5" w:rsidRDefault="00846E59" w:rsidP="00B50BF5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B50BF5">
        <w:rPr>
          <w:rFonts w:ascii="標楷體" w:eastAsia="標楷體" w:hAnsi="標楷體" w:hint="eastAsia"/>
          <w:szCs w:val="24"/>
          <w:lang w:eastAsia="zh-HK"/>
        </w:rPr>
        <w:t>第</w:t>
      </w:r>
      <w:r w:rsidRPr="00B50BF5">
        <w:rPr>
          <w:rFonts w:ascii="標楷體" w:eastAsia="標楷體" w:hAnsi="標楷體"/>
          <w:szCs w:val="24"/>
        </w:rPr>
        <w:t>2</w:t>
      </w:r>
      <w:r w:rsidRPr="00B50BF5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BE37E1" w:rsidTr="00492F7F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9C01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瞭解不同國家的法律體系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瞭解不同國家的法律體系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3.課堂問答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lang w:eastAsia="zh-TW"/>
              </w:rPr>
              <w:t>比較我國法律體系與他國的差異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憲法精神介紹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以美國案例為例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憲法精神介紹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以韓國案例為例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2.紙筆測驗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民事法律案例研討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日本案例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民事法律案例研討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美國案例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刑事法律案例研討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日本案例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刑事法律案例研討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美國案例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法律規範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各國訴訟制度介紹</w:t>
            </w:r>
            <w:r w:rsidRPr="00F77FFE">
              <w:rPr>
                <w:sz w:val="22"/>
                <w:lang w:eastAsia="zh-TW"/>
              </w:rPr>
              <w:t>—</w:t>
            </w:r>
            <w:r w:rsidRPr="00F77FFE">
              <w:rPr>
                <w:rFonts w:hint="eastAsia"/>
                <w:sz w:val="22"/>
                <w:lang w:eastAsia="zh-TW"/>
              </w:rPr>
              <w:t>英美陪審團制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法律規範篇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各國刑事訴訟制度介紹</w:t>
            </w:r>
            <w:r w:rsidRPr="00F77FFE">
              <w:rPr>
                <w:sz w:val="22"/>
                <w:lang w:eastAsia="zh-TW"/>
              </w:rPr>
              <w:t>—</w:t>
            </w:r>
            <w:r w:rsidRPr="00F77FFE">
              <w:rPr>
                <w:rFonts w:hint="eastAsia"/>
                <w:sz w:val="22"/>
                <w:lang w:eastAsia="zh-TW"/>
              </w:rPr>
              <w:t>美國案例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法律規範篇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少年犯罪案例探討</w:t>
            </w:r>
            <w:r w:rsidRPr="00F77FFE">
              <w:rPr>
                <w:rFonts w:ascii="標楷體" w:eastAsia="標楷體" w:hAnsi="標楷體"/>
                <w:sz w:val="22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日本案例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1.心得報告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2.資料蒐集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跨國巡禮</w:t>
            </w:r>
            <w:r w:rsidRPr="00F77FFE">
              <w:rPr>
                <w:rFonts w:ascii="標楷體" w:eastAsia="標楷體" w:hAnsi="標楷體"/>
                <w:sz w:val="22"/>
              </w:rPr>
              <w:t>—</w:t>
            </w:r>
            <w:r w:rsidRPr="00F77FFE">
              <w:rPr>
                <w:rFonts w:ascii="標楷體" w:eastAsia="標楷體" w:hAnsi="標楷體" w:hint="eastAsia"/>
                <w:sz w:val="22"/>
              </w:rPr>
              <w:t>法律規範篇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瞭解</w:t>
            </w: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人權保障的演進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瞭解國際間的普世人權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  <w:lang w:eastAsia="zh-TW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瞭解國際間的普世人權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  <w:lang w:val="x-none"/>
              </w:rPr>
            </w:pPr>
            <w:r w:rsidRPr="00F77FFE">
              <w:rPr>
                <w:rFonts w:ascii="標楷體" w:eastAsia="標楷體" w:hAnsi="標楷體" w:hint="eastAsia"/>
                <w:sz w:val="22"/>
                <w:lang w:val="x-none"/>
              </w:rPr>
              <w:t>介紹世界人權宣言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</w:rPr>
            </w:pPr>
            <w:r w:rsidRPr="00F77FFE">
              <w:rPr>
                <w:rFonts w:hint="eastAsia"/>
                <w:sz w:val="22"/>
                <w:szCs w:val="22"/>
              </w:rPr>
              <w:t>介紹公民與政治權利國際公約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  <w:szCs w:val="22"/>
              </w:rPr>
            </w:pPr>
            <w:r w:rsidRPr="00F77FFE">
              <w:rPr>
                <w:rFonts w:hint="eastAsia"/>
                <w:sz w:val="22"/>
                <w:szCs w:val="22"/>
                <w:lang w:eastAsia="zh-TW"/>
              </w:rPr>
              <w:t>介紹經濟社會文化權利國際公約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6-3-3</w:t>
            </w:r>
          </w:p>
          <w:p w:rsidR="00492F7F" w:rsidRPr="00F77FFE" w:rsidRDefault="00492F7F" w:rsidP="00492F7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6-3-4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1.問題討論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2.隨堂測驗</w:t>
            </w:r>
            <w:r w:rsidRPr="00F77FFE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3.作業練習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介紹世界各國的人權保障現況與案例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lang w:val="x-none"/>
              </w:rPr>
            </w:pPr>
            <w:r w:rsidRPr="00F77FFE">
              <w:rPr>
                <w:rFonts w:ascii="標楷體" w:eastAsia="標楷體" w:hAnsi="標楷體" w:hint="eastAsia"/>
                <w:lang w:val="x-none"/>
              </w:rPr>
              <w:lastRenderedPageBreak/>
              <w:t>影片欣賞</w:t>
            </w:r>
            <w:r w:rsidRPr="00F77FFE">
              <w:rPr>
                <w:rFonts w:ascii="標楷體" w:eastAsia="標楷體" w:hAnsi="標楷體"/>
                <w:lang w:val="x-none"/>
              </w:rPr>
              <w:t>—</w:t>
            </w:r>
            <w:r w:rsidRPr="00F77FFE">
              <w:rPr>
                <w:rFonts w:ascii="標楷體" w:eastAsia="標楷體" w:hAnsi="標楷體" w:hint="eastAsia"/>
                <w:lang w:val="x-none"/>
              </w:rPr>
              <w:t>徐自強的練習題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lastRenderedPageBreak/>
              <w:t>6-4-4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</w:p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  <w:lang w:eastAsia="zh-TW"/>
              </w:rPr>
              <w:t>分組報告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92F7F" w:rsidRPr="00BE37E1" w:rsidTr="00492F7F">
        <w:trPr>
          <w:trHeight w:val="567"/>
        </w:trPr>
        <w:tc>
          <w:tcPr>
            <w:tcW w:w="247" w:type="pct"/>
            <w:vAlign w:val="center"/>
          </w:tcPr>
          <w:p w:rsidR="00492F7F" w:rsidRPr="00BE37E1" w:rsidRDefault="00492F7F" w:rsidP="00492F7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sz w:val="22"/>
                <w:szCs w:val="22"/>
              </w:rPr>
              <w:t>跨國巡禮</w:t>
            </w:r>
            <w:r w:rsidRPr="00F77FFE">
              <w:rPr>
                <w:sz w:val="22"/>
                <w:szCs w:val="22"/>
              </w:rPr>
              <w:t>—</w:t>
            </w:r>
            <w:r w:rsidRPr="00F77FFE">
              <w:rPr>
                <w:rFonts w:hint="eastAsia"/>
                <w:sz w:val="22"/>
                <w:szCs w:val="22"/>
                <w:lang w:eastAsia="zh-TW"/>
              </w:rPr>
              <w:t>人權保障</w:t>
            </w:r>
            <w:r w:rsidRPr="00F77FFE">
              <w:rPr>
                <w:rFonts w:hint="eastAsia"/>
                <w:sz w:val="22"/>
                <w:szCs w:val="22"/>
              </w:rPr>
              <w:t>篇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492F7F" w:rsidRDefault="00492F7F" w:rsidP="00492F7F">
            <w:pPr>
              <w:pStyle w:val="a8"/>
              <w:jc w:val="left"/>
              <w:rPr>
                <w:sz w:val="22"/>
                <w:lang w:eastAsia="zh-TW"/>
              </w:rPr>
            </w:pPr>
            <w:r w:rsidRPr="00F77FFE">
              <w:rPr>
                <w:rFonts w:hint="eastAsia"/>
                <w:sz w:val="22"/>
                <w:lang w:eastAsia="zh-TW"/>
              </w:rPr>
              <w:t>介紹世界各國的人權保障現況與案例</w:t>
            </w:r>
          </w:p>
          <w:p w:rsidR="00492F7F" w:rsidRPr="00F77FFE" w:rsidRDefault="00492F7F" w:rsidP="00492F7F">
            <w:pPr>
              <w:rPr>
                <w:lang w:val="x-none"/>
              </w:rPr>
            </w:pPr>
            <w:r w:rsidRPr="00F77FFE">
              <w:rPr>
                <w:rFonts w:ascii="標楷體" w:eastAsia="標楷體" w:hAnsi="標楷體" w:hint="eastAsia"/>
                <w:lang w:val="x-none"/>
              </w:rPr>
              <w:t>影片欣賞</w:t>
            </w:r>
            <w:r w:rsidRPr="00F77FFE">
              <w:rPr>
                <w:rFonts w:ascii="標楷體" w:eastAsia="標楷體" w:hAnsi="標楷體"/>
                <w:lang w:val="x-none"/>
              </w:rPr>
              <w:t>—</w:t>
            </w:r>
            <w:r>
              <w:rPr>
                <w:rFonts w:ascii="標楷體" w:eastAsia="標楷體" w:hAnsi="標楷體" w:hint="eastAsia"/>
                <w:lang w:val="x-none"/>
              </w:rPr>
              <w:t>進擊之路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6-4-4</w:t>
            </w:r>
          </w:p>
          <w:p w:rsidR="00492F7F" w:rsidRPr="00F77FFE" w:rsidRDefault="00492F7F" w:rsidP="00492F7F">
            <w:pPr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6-4-5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92F7F" w:rsidRPr="00F77FFE" w:rsidRDefault="00492F7F" w:rsidP="00492F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492F7F" w:rsidRPr="00F77FFE" w:rsidRDefault="00492F7F" w:rsidP="00492F7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77FFE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492F7F" w:rsidRPr="00F77FFE" w:rsidRDefault="00492F7F" w:rsidP="00492F7F">
            <w:pPr>
              <w:pStyle w:val="a8"/>
              <w:jc w:val="left"/>
              <w:rPr>
                <w:bCs/>
                <w:snapToGrid w:val="0"/>
                <w:kern w:val="0"/>
                <w:sz w:val="18"/>
                <w:szCs w:val="18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1.分組討論</w:t>
            </w:r>
          </w:p>
          <w:p w:rsidR="00492F7F" w:rsidRPr="00F77FFE" w:rsidRDefault="00492F7F" w:rsidP="00492F7F">
            <w:pPr>
              <w:pStyle w:val="a8"/>
              <w:jc w:val="left"/>
              <w:rPr>
                <w:sz w:val="22"/>
              </w:rPr>
            </w:pP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</w:rPr>
              <w:t>2.</w:t>
            </w:r>
            <w:r w:rsidRPr="00F77FFE">
              <w:rPr>
                <w:rFonts w:hint="eastAsia"/>
                <w:bCs/>
                <w:snapToGrid w:val="0"/>
                <w:kern w:val="0"/>
                <w:sz w:val="18"/>
                <w:szCs w:val="18"/>
                <w:lang w:eastAsia="zh-TW"/>
              </w:rPr>
              <w:t>分組報告</w:t>
            </w:r>
          </w:p>
        </w:tc>
        <w:tc>
          <w:tcPr>
            <w:tcW w:w="250" w:type="pct"/>
            <w:vAlign w:val="center"/>
          </w:tcPr>
          <w:p w:rsidR="00492F7F" w:rsidRPr="00BE37E1" w:rsidRDefault="00492F7F" w:rsidP="00492F7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34" w:rsidRDefault="00822C34" w:rsidP="00361B7B">
      <w:r>
        <w:separator/>
      </w:r>
    </w:p>
  </w:endnote>
  <w:endnote w:type="continuationSeparator" w:id="0">
    <w:p w:rsidR="00822C34" w:rsidRDefault="00822C34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34" w:rsidRDefault="00822C34" w:rsidP="00361B7B">
      <w:r>
        <w:separator/>
      </w:r>
    </w:p>
  </w:footnote>
  <w:footnote w:type="continuationSeparator" w:id="0">
    <w:p w:rsidR="00822C34" w:rsidRDefault="00822C34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13A543D7"/>
    <w:multiLevelType w:val="multilevel"/>
    <w:tmpl w:val="26A26CBE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3D150920"/>
    <w:multiLevelType w:val="hybridMultilevel"/>
    <w:tmpl w:val="ADF877B2"/>
    <w:lvl w:ilvl="0" w:tplc="6EBA62EE">
      <w:start w:val="3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" w15:restartNumberingAfterBreak="0">
    <w:nsid w:val="51352122"/>
    <w:multiLevelType w:val="hybridMultilevel"/>
    <w:tmpl w:val="53569EDA"/>
    <w:lvl w:ilvl="0" w:tplc="09F8ADF6">
      <w:start w:val="1"/>
      <w:numFmt w:val="taiwaneseCountingThousand"/>
      <w:lvlText w:val="﹙%1﹚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0446E"/>
    <w:rsid w:val="00112006"/>
    <w:rsid w:val="001519AF"/>
    <w:rsid w:val="00194247"/>
    <w:rsid w:val="001D0612"/>
    <w:rsid w:val="00361B7B"/>
    <w:rsid w:val="00376359"/>
    <w:rsid w:val="00492F7F"/>
    <w:rsid w:val="005F2127"/>
    <w:rsid w:val="006468EA"/>
    <w:rsid w:val="0073191B"/>
    <w:rsid w:val="007B677D"/>
    <w:rsid w:val="007F0A83"/>
    <w:rsid w:val="00822C34"/>
    <w:rsid w:val="00846E59"/>
    <w:rsid w:val="00857162"/>
    <w:rsid w:val="008E64AA"/>
    <w:rsid w:val="00962AD4"/>
    <w:rsid w:val="009C0170"/>
    <w:rsid w:val="009D4196"/>
    <w:rsid w:val="009F23F4"/>
    <w:rsid w:val="00A9499E"/>
    <w:rsid w:val="00B50BF5"/>
    <w:rsid w:val="00C6046F"/>
    <w:rsid w:val="00CF72BA"/>
    <w:rsid w:val="00E1415F"/>
    <w:rsid w:val="00E448A1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50BF5"/>
    <w:pPr>
      <w:ind w:leftChars="200" w:left="480"/>
    </w:pPr>
  </w:style>
  <w:style w:type="paragraph" w:styleId="a8">
    <w:name w:val="Note Heading"/>
    <w:basedOn w:val="a"/>
    <w:next w:val="a"/>
    <w:link w:val="a9"/>
    <w:rsid w:val="00492F7F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9">
    <w:name w:val="註釋標題 字元"/>
    <w:basedOn w:val="a0"/>
    <w:link w:val="a8"/>
    <w:rsid w:val="00492F7F"/>
    <w:rPr>
      <w:rFonts w:ascii="標楷體" w:eastAsia="標楷體" w:hAnsi="標楷體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LWJ</cp:lastModifiedBy>
  <cp:revision>4</cp:revision>
  <dcterms:created xsi:type="dcterms:W3CDTF">2019-04-30T02:15:00Z</dcterms:created>
  <dcterms:modified xsi:type="dcterms:W3CDTF">2019-05-21T03:33:00Z</dcterms:modified>
</cp:coreProperties>
</file>